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057" w14:textId="0562CCBF" w:rsidR="000378C3" w:rsidRDefault="00407954">
      <w:pPr>
        <w:pStyle w:val="Title"/>
      </w:pPr>
      <w:r>
        <w:t>MTR/R</w:t>
      </w:r>
      <w:r w:rsidR="0074190D">
        <w:t>EG 6</w:t>
      </w:r>
      <w:r>
        <w:t>21</w:t>
      </w:r>
      <w:r w:rsidR="00605301">
        <w:t>0</w:t>
      </w:r>
      <w:r w:rsidR="004344B7">
        <w:t xml:space="preserve"> </w:t>
      </w:r>
      <w:r>
        <w:t>Cell &amp; Gene Therapy</w:t>
      </w:r>
    </w:p>
    <w:p w14:paraId="37E000AB" w14:textId="0A983498" w:rsidR="000378C3" w:rsidRDefault="0074190D" w:rsidP="00244365">
      <w:pPr>
        <w:pStyle w:val="Subtitle"/>
        <w:spacing w:after="0"/>
      </w:pPr>
      <w:r>
        <w:t>S</w:t>
      </w:r>
      <w:r w:rsidR="00407954">
        <w:t>pring</w:t>
      </w:r>
      <w:r>
        <w:t xml:space="preserve"> </w:t>
      </w:r>
      <w:r w:rsidR="00F5023B">
        <w:t>202</w:t>
      </w:r>
      <w:r w:rsidR="00A52DBD">
        <w:t>3</w:t>
      </w:r>
    </w:p>
    <w:p w14:paraId="0450EAF1" w14:textId="19E08D9E" w:rsidR="00244365" w:rsidRDefault="6B32BF0C" w:rsidP="00244365">
      <w:pPr>
        <w:pStyle w:val="Heading2"/>
      </w:pPr>
      <w:r>
        <w:t>Time: Wednesdays 10:</w:t>
      </w:r>
      <w:r w:rsidR="00CC2C9D">
        <w:t xml:space="preserve">15 </w:t>
      </w:r>
      <w:r>
        <w:t>AM-12:</w:t>
      </w:r>
      <w:r w:rsidR="00CC2C9D">
        <w:t>15</w:t>
      </w:r>
      <w:r>
        <w:t>PM</w:t>
      </w:r>
    </w:p>
    <w:p w14:paraId="6FCBAE46" w14:textId="71EC1BC4" w:rsidR="114BBC55" w:rsidRDefault="114BBC55" w:rsidP="00605301">
      <w:pPr>
        <w:pStyle w:val="Heading2"/>
      </w:pPr>
      <w:r>
        <w:t xml:space="preserve">Dates:  Jan </w:t>
      </w:r>
      <w:r w:rsidR="00BE4B6E">
        <w:t>1</w:t>
      </w:r>
      <w:r w:rsidR="00A52DBD">
        <w:t>8</w:t>
      </w:r>
      <w:r w:rsidR="00BE4B6E">
        <w:t xml:space="preserve"> </w:t>
      </w:r>
      <w:r>
        <w:t xml:space="preserve">– Apr </w:t>
      </w:r>
      <w:r w:rsidR="00A52DBD">
        <w:t>19</w:t>
      </w:r>
      <w:r w:rsidR="00BE4B6E">
        <w:t xml:space="preserve"> </w:t>
      </w:r>
    </w:p>
    <w:p w14:paraId="372CCE04" w14:textId="6429E81B" w:rsidR="00244365" w:rsidRDefault="0CF374B3" w:rsidP="00244365">
      <w:pPr>
        <w:pStyle w:val="Heading2"/>
        <w:spacing w:after="0"/>
      </w:pPr>
      <w:r>
        <w:t xml:space="preserve">Location: </w:t>
      </w:r>
      <w:r w:rsidR="00A52DBD">
        <w:t xml:space="preserve"> Smilow Research Center, </w:t>
      </w:r>
      <w:r w:rsidR="002D6C77">
        <w:t xml:space="preserve">SCTR </w:t>
      </w:r>
      <w:r w:rsidR="00A52DBD">
        <w:t xml:space="preserve"> </w:t>
      </w:r>
      <w:r w:rsidR="00B34B3F">
        <w:t>8</w:t>
      </w:r>
      <w:r w:rsidR="00A52DBD">
        <w:t>-146</w:t>
      </w:r>
      <w:r w:rsidR="002D6C77">
        <w:t xml:space="preserve"> </w:t>
      </w:r>
      <w:proofErr w:type="gramStart"/>
      <w:r w:rsidR="002D6C77">
        <w:t>AB  (</w:t>
      </w:r>
      <w:proofErr w:type="gramEnd"/>
      <w:r w:rsidR="002D6C77">
        <w:t>8</w:t>
      </w:r>
      <w:r w:rsidR="002D6C77" w:rsidRPr="00BF432D">
        <w:rPr>
          <w:vertAlign w:val="superscript"/>
        </w:rPr>
        <w:t>th</w:t>
      </w:r>
      <w:r w:rsidR="002D6C77">
        <w:t xml:space="preserve"> Floor)</w:t>
      </w:r>
    </w:p>
    <w:p w14:paraId="2242EFB3" w14:textId="2A54D4D1" w:rsidR="00AD1A6F" w:rsidRPr="00AD1A6F" w:rsidRDefault="00AD1A6F" w:rsidP="00AD1A6F"/>
    <w:p w14:paraId="27866BBA" w14:textId="2A3880D8" w:rsidR="000378C3" w:rsidRDefault="004344B7" w:rsidP="00244365">
      <w:pPr>
        <w:pStyle w:val="Heading1"/>
        <w:spacing w:before="0"/>
      </w:pPr>
      <w:r>
        <w:t xml:space="preserve">Instructor </w:t>
      </w:r>
      <w:proofErr w:type="spellStart"/>
      <w:r>
        <w:t>Information</w:t>
      </w:r>
      <w:r w:rsidR="00BA7510">
        <w:t>I</w:t>
      </w:r>
      <w:proofErr w:type="spellEnd"/>
    </w:p>
    <w:tbl>
      <w:tblPr>
        <w:tblStyle w:val="SyllabusTable-NoBorders"/>
        <w:tblW w:w="5215" w:type="pct"/>
        <w:tblLook w:val="04A0" w:firstRow="1" w:lastRow="0" w:firstColumn="1" w:lastColumn="0" w:noHBand="0" w:noVBand="1"/>
        <w:tblDescription w:val="Contact Info"/>
      </w:tblPr>
      <w:tblGrid>
        <w:gridCol w:w="6939"/>
        <w:gridCol w:w="20"/>
        <w:gridCol w:w="3194"/>
      </w:tblGrid>
      <w:tr w:rsidR="00243C27" w14:paraId="5E92E24B" w14:textId="77777777" w:rsidTr="004D4FA4">
        <w:trPr>
          <w:cnfStyle w:val="100000000000" w:firstRow="1" w:lastRow="0" w:firstColumn="0" w:lastColumn="0" w:oddVBand="0" w:evenVBand="0" w:oddHBand="0" w:evenHBand="0" w:firstRowFirstColumn="0" w:firstRowLastColumn="0" w:lastRowFirstColumn="0" w:lastRowLastColumn="0"/>
        </w:trPr>
        <w:tc>
          <w:tcPr>
            <w:tcW w:w="3417" w:type="pct"/>
          </w:tcPr>
          <w:p w14:paraId="6ADF7C9C" w14:textId="77777777" w:rsidR="000378C3" w:rsidRDefault="00F423DA">
            <w:r>
              <w:t>Course Director</w:t>
            </w:r>
          </w:p>
        </w:tc>
        <w:tc>
          <w:tcPr>
            <w:tcW w:w="10" w:type="pct"/>
          </w:tcPr>
          <w:p w14:paraId="1ABC55CD" w14:textId="0C4867CB" w:rsidR="000378C3" w:rsidRDefault="000378C3"/>
        </w:tc>
        <w:tc>
          <w:tcPr>
            <w:tcW w:w="1573" w:type="pct"/>
          </w:tcPr>
          <w:p w14:paraId="463446F4" w14:textId="5196EF8D" w:rsidR="000378C3" w:rsidRDefault="000378C3" w:rsidP="001D6498"/>
        </w:tc>
      </w:tr>
      <w:tr w:rsidR="00243C27" w14:paraId="247EBD75" w14:textId="77777777" w:rsidTr="004D4FA4">
        <w:trPr>
          <w:trHeight w:val="1125"/>
        </w:trPr>
        <w:tc>
          <w:tcPr>
            <w:tcW w:w="3417" w:type="pct"/>
          </w:tcPr>
          <w:p w14:paraId="716C36FB" w14:textId="77777777" w:rsidR="00EB52D9" w:rsidRPr="00243C27" w:rsidRDefault="00EB52D9" w:rsidP="00EB52D9">
            <w:pPr>
              <w:rPr>
                <w:b/>
              </w:rPr>
            </w:pPr>
            <w:r w:rsidRPr="00243C27">
              <w:rPr>
                <w:b/>
              </w:rPr>
              <w:t>Michael Milone, MD, PhD</w:t>
            </w:r>
          </w:p>
          <w:p w14:paraId="5F862BCD" w14:textId="571955D5" w:rsidR="00EB52D9" w:rsidRPr="00EA4D3A" w:rsidRDefault="00EB52D9" w:rsidP="00EB52D9">
            <w:r w:rsidRPr="00EA4D3A">
              <w:t>Ass</w:t>
            </w:r>
            <w:r>
              <w:t>ociate</w:t>
            </w:r>
            <w:r w:rsidRPr="00EA4D3A">
              <w:t xml:space="preserve"> Professor of Pathology and Laboratory </w:t>
            </w:r>
            <w:r w:rsidR="00243C27">
              <w:t>M</w:t>
            </w:r>
            <w:r w:rsidRPr="00EA4D3A">
              <w:t>edicine</w:t>
            </w:r>
          </w:p>
          <w:p w14:paraId="394B319D" w14:textId="77777777" w:rsidR="00EB52D9" w:rsidRPr="00EA4D3A" w:rsidRDefault="00EB52D9" w:rsidP="00EB52D9">
            <w:r w:rsidRPr="00EA4D3A">
              <w:t>University of Pennsylvania</w:t>
            </w:r>
          </w:p>
          <w:p w14:paraId="4400476A" w14:textId="3EF1E3A2" w:rsidR="000378C3" w:rsidRPr="00243C27" w:rsidRDefault="00243C27" w:rsidP="008C7D7D">
            <w:pPr>
              <w:rPr>
                <w:b/>
              </w:rPr>
            </w:pPr>
            <w:r w:rsidRPr="00243C27">
              <w:rPr>
                <w:b/>
              </w:rPr>
              <w:t>milone@pennmedicine.upenn.edu</w:t>
            </w:r>
          </w:p>
        </w:tc>
        <w:tc>
          <w:tcPr>
            <w:tcW w:w="10" w:type="pct"/>
          </w:tcPr>
          <w:p w14:paraId="59C08420" w14:textId="149007CE" w:rsidR="000378C3" w:rsidRPr="0074190D" w:rsidRDefault="000378C3">
            <w:pPr>
              <w:pStyle w:val="NoSpacing"/>
              <w:rPr>
                <w:b/>
              </w:rPr>
            </w:pPr>
          </w:p>
        </w:tc>
        <w:tc>
          <w:tcPr>
            <w:tcW w:w="1573" w:type="pct"/>
          </w:tcPr>
          <w:p w14:paraId="49999891" w14:textId="2670C526" w:rsidR="000378C3" w:rsidRPr="00976320" w:rsidRDefault="000378C3" w:rsidP="00597AA6">
            <w:pPr>
              <w:pStyle w:val="NoSpacing"/>
              <w:rPr>
                <w:b/>
              </w:rPr>
            </w:pPr>
          </w:p>
        </w:tc>
      </w:tr>
      <w:tr w:rsidR="00243C27" w14:paraId="1780089B" w14:textId="77777777" w:rsidTr="004D4FA4">
        <w:trPr>
          <w:trHeight w:val="1413"/>
        </w:trPr>
        <w:tc>
          <w:tcPr>
            <w:tcW w:w="3417" w:type="pct"/>
          </w:tcPr>
          <w:p w14:paraId="7D054C87" w14:textId="4F55CC28" w:rsidR="008C7D7D" w:rsidRDefault="008C7D7D" w:rsidP="004D4FA4">
            <w:pPr>
              <w:pStyle w:val="Heading2"/>
              <w:spacing w:before="0"/>
              <w:outlineLvl w:val="1"/>
            </w:pPr>
            <w:r>
              <w:t>Assistant Course Director</w:t>
            </w:r>
          </w:p>
          <w:p w14:paraId="62FD732B" w14:textId="3CBE121E" w:rsidR="008C7D7D" w:rsidRDefault="008C7D7D" w:rsidP="006B1754">
            <w:pPr>
              <w:rPr>
                <w:b/>
              </w:rPr>
            </w:pPr>
            <w:r w:rsidRPr="008C7D7D">
              <w:rPr>
                <w:b/>
              </w:rPr>
              <w:t>Elizabeth Hexner, MD, M</w:t>
            </w:r>
            <w:r w:rsidR="004A0CC8">
              <w:rPr>
                <w:b/>
              </w:rPr>
              <w:t>S</w:t>
            </w:r>
            <w:r w:rsidRPr="008C7D7D">
              <w:rPr>
                <w:b/>
              </w:rPr>
              <w:t>TR</w:t>
            </w:r>
          </w:p>
          <w:p w14:paraId="274BBAE8" w14:textId="77777777" w:rsidR="008C7D7D" w:rsidRPr="00EA4D3A" w:rsidRDefault="008C7D7D" w:rsidP="008C7D7D">
            <w:r w:rsidRPr="00EA4D3A">
              <w:t>Ass</w:t>
            </w:r>
            <w:r>
              <w:t>ociate</w:t>
            </w:r>
            <w:r w:rsidRPr="00EA4D3A">
              <w:t xml:space="preserve"> Professor of Medicine </w:t>
            </w:r>
          </w:p>
          <w:p w14:paraId="1F4E1E24" w14:textId="77777777" w:rsidR="008C7D7D" w:rsidRPr="00EA4D3A" w:rsidRDefault="008C7D7D" w:rsidP="008C7D7D">
            <w:r w:rsidRPr="00EA4D3A">
              <w:t>University of Pennsylvania</w:t>
            </w:r>
          </w:p>
          <w:p w14:paraId="718B2706" w14:textId="3CAAAD41" w:rsidR="008C7D7D" w:rsidRPr="008C7D7D" w:rsidRDefault="00243C27" w:rsidP="006B1754">
            <w:pPr>
              <w:rPr>
                <w:b/>
              </w:rPr>
            </w:pPr>
            <w:r w:rsidRPr="00243C27">
              <w:rPr>
                <w:b/>
              </w:rPr>
              <w:t>hexnere@pennmedicine.upenn.edu</w:t>
            </w:r>
          </w:p>
        </w:tc>
        <w:tc>
          <w:tcPr>
            <w:tcW w:w="10" w:type="pct"/>
          </w:tcPr>
          <w:p w14:paraId="026516EE" w14:textId="77777777" w:rsidR="008C7D7D" w:rsidRDefault="008C7D7D" w:rsidP="006B1754"/>
        </w:tc>
        <w:tc>
          <w:tcPr>
            <w:tcW w:w="1573" w:type="pct"/>
          </w:tcPr>
          <w:p w14:paraId="7B2D64C6" w14:textId="77777777" w:rsidR="008C7D7D" w:rsidRDefault="008C7D7D" w:rsidP="006B1754"/>
        </w:tc>
      </w:tr>
      <w:tr w:rsidR="00243C27" w14:paraId="4E6F1940" w14:textId="77777777" w:rsidTr="004D4FA4">
        <w:tc>
          <w:tcPr>
            <w:tcW w:w="3417" w:type="pct"/>
          </w:tcPr>
          <w:p w14:paraId="58368615" w14:textId="4DD53459" w:rsidR="0099474F" w:rsidRPr="006B18B6" w:rsidRDefault="0099474F" w:rsidP="006B1754">
            <w:pPr>
              <w:rPr>
                <w:b/>
              </w:rPr>
            </w:pPr>
            <w:r w:rsidRPr="006B18B6">
              <w:rPr>
                <w:b/>
                <w:color w:val="D6615C" w:themeColor="accent1"/>
                <w:sz w:val="20"/>
              </w:rPr>
              <w:t>Course Coordinator</w:t>
            </w:r>
          </w:p>
        </w:tc>
        <w:tc>
          <w:tcPr>
            <w:tcW w:w="10" w:type="pct"/>
          </w:tcPr>
          <w:p w14:paraId="3EC2AF6B" w14:textId="708D6B3C" w:rsidR="0099474F" w:rsidRPr="00E34E1A" w:rsidRDefault="0099474F" w:rsidP="006B1754">
            <w:pPr>
              <w:rPr>
                <w:b/>
              </w:rPr>
            </w:pPr>
          </w:p>
        </w:tc>
        <w:tc>
          <w:tcPr>
            <w:tcW w:w="1573" w:type="pct"/>
          </w:tcPr>
          <w:p w14:paraId="4DD062E7" w14:textId="696C0875" w:rsidR="0099474F" w:rsidRPr="00E34E1A" w:rsidRDefault="0099474F" w:rsidP="0099474F">
            <w:pPr>
              <w:rPr>
                <w:b/>
              </w:rPr>
            </w:pPr>
          </w:p>
        </w:tc>
      </w:tr>
      <w:tr w:rsidR="00243C27" w14:paraId="393AFCFB" w14:textId="77777777" w:rsidTr="00BF432D">
        <w:trPr>
          <w:trHeight w:val="522"/>
        </w:trPr>
        <w:tc>
          <w:tcPr>
            <w:tcW w:w="3417" w:type="pct"/>
          </w:tcPr>
          <w:p w14:paraId="01FEBA74" w14:textId="231993DF" w:rsidR="0099474F" w:rsidRDefault="004A0CC8" w:rsidP="006B1754">
            <w:pPr>
              <w:pStyle w:val="NoSpacing"/>
              <w:rPr>
                <w:rStyle w:val="Strong"/>
              </w:rPr>
            </w:pPr>
            <w:r>
              <w:rPr>
                <w:rStyle w:val="Strong"/>
              </w:rPr>
              <w:t>Megan Maxwell</w:t>
            </w:r>
          </w:p>
          <w:p w14:paraId="7A611224" w14:textId="274A94ED" w:rsidR="00243C27" w:rsidRPr="00243C27" w:rsidRDefault="00243C27" w:rsidP="006B1754">
            <w:pPr>
              <w:pStyle w:val="NoSpacing"/>
              <w:rPr>
                <w:rStyle w:val="Strong"/>
                <w:b w:val="0"/>
              </w:rPr>
            </w:pPr>
            <w:r w:rsidRPr="00243C27">
              <w:rPr>
                <w:rStyle w:val="Strong"/>
                <w:b w:val="0"/>
              </w:rPr>
              <w:t>Associate Director, ITMAT Education</w:t>
            </w:r>
          </w:p>
          <w:p w14:paraId="17288438" w14:textId="243E93E3" w:rsidR="00243C27" w:rsidRPr="00243C27" w:rsidRDefault="002D6C77" w:rsidP="004A0CC8">
            <w:pPr>
              <w:pStyle w:val="NoSpacing"/>
            </w:pPr>
            <w:r w:rsidRPr="00BF432D">
              <w:rPr>
                <w:rStyle w:val="Strong"/>
                <w:bCs w:val="0"/>
              </w:rPr>
              <w:t>2</w:t>
            </w:r>
            <w:r>
              <w:rPr>
                <w:rStyle w:val="Strong"/>
              </w:rPr>
              <w:t>67-408-9585</w:t>
            </w:r>
            <w:r w:rsidR="004A0CC8">
              <w:rPr>
                <w:rStyle w:val="Strong"/>
                <w:b w:val="0"/>
              </w:rPr>
              <w:t xml:space="preserve">, </w:t>
            </w:r>
            <w:r w:rsidR="004A0CC8">
              <w:rPr>
                <w:rStyle w:val="Strong"/>
              </w:rPr>
              <w:t>mmaxwell</w:t>
            </w:r>
            <w:r w:rsidR="00243C27" w:rsidRPr="00243C27">
              <w:rPr>
                <w:rStyle w:val="Strong"/>
              </w:rPr>
              <w:t>@upenn.edu</w:t>
            </w:r>
          </w:p>
        </w:tc>
        <w:tc>
          <w:tcPr>
            <w:tcW w:w="10" w:type="pct"/>
          </w:tcPr>
          <w:p w14:paraId="08651544" w14:textId="4F0E7A0B" w:rsidR="0099474F" w:rsidRPr="0074190D" w:rsidRDefault="0099474F" w:rsidP="006B1754">
            <w:pPr>
              <w:pStyle w:val="NoSpacing"/>
              <w:rPr>
                <w:b/>
              </w:rPr>
            </w:pPr>
          </w:p>
        </w:tc>
        <w:tc>
          <w:tcPr>
            <w:tcW w:w="1573" w:type="pct"/>
          </w:tcPr>
          <w:p w14:paraId="28ED78AB" w14:textId="7C57CADD" w:rsidR="0099474F" w:rsidRPr="007754FF" w:rsidRDefault="0099474F" w:rsidP="00407954">
            <w:pPr>
              <w:pStyle w:val="NoSpacing"/>
              <w:rPr>
                <w:b/>
              </w:rPr>
            </w:pPr>
          </w:p>
        </w:tc>
      </w:tr>
    </w:tbl>
    <w:p w14:paraId="2D36EF9F" w14:textId="77777777" w:rsidR="000378C3" w:rsidRDefault="004344B7">
      <w:pPr>
        <w:pStyle w:val="Heading1"/>
      </w:pPr>
      <w:r>
        <w:t>General Information</w:t>
      </w:r>
    </w:p>
    <w:p w14:paraId="2F93707E" w14:textId="77777777" w:rsidR="000378C3" w:rsidRDefault="004344B7">
      <w:pPr>
        <w:pStyle w:val="Heading2"/>
      </w:pPr>
      <w:r>
        <w:t>Description</w:t>
      </w:r>
    </w:p>
    <w:p w14:paraId="1094834A" w14:textId="77777777" w:rsidR="00B77F2F" w:rsidRPr="00EA4D3A" w:rsidRDefault="00B77F2F" w:rsidP="00B77F2F">
      <w:pPr>
        <w:widowControl w:val="0"/>
        <w:autoSpaceDE w:val="0"/>
        <w:autoSpaceDN w:val="0"/>
        <w:adjustRightInd w:val="0"/>
        <w:jc w:val="both"/>
        <w:rPr>
          <w:szCs w:val="26"/>
        </w:rPr>
      </w:pPr>
      <w:r w:rsidRPr="00EA4D3A">
        <w:rPr>
          <w:szCs w:val="26"/>
        </w:rPr>
        <w:t xml:space="preserve">This course will provide students with a general overview of translational research </w:t>
      </w:r>
      <w:proofErr w:type="gramStart"/>
      <w:r w:rsidRPr="00EA4D3A">
        <w:rPr>
          <w:szCs w:val="26"/>
        </w:rPr>
        <w:t>in the area of</w:t>
      </w:r>
      <w:proofErr w:type="gramEnd"/>
      <w:r w:rsidRPr="00EA4D3A">
        <w:rPr>
          <w:szCs w:val="26"/>
        </w:rPr>
        <w:t xml:space="preserve"> gene and cell therapy. This includes technical considerations, translating preclinical investigation into therapeutics, the execution of gene and cell therapies clinical trials, and key regulatory issues. Entrepreneurial considerations will be discussed as well. By the end of this course, students will understand the basic technologies employed for gene and cell therapy along with approaches and pitfalls to translating these therapies into clinical applications including regulatory and commercial aspects of this emerging area.</w:t>
      </w:r>
    </w:p>
    <w:p w14:paraId="0B23DDF0" w14:textId="77777777" w:rsidR="002A7AE3" w:rsidRPr="002A7AE3" w:rsidRDefault="002A7AE3" w:rsidP="00B77F2F">
      <w:pPr>
        <w:pStyle w:val="Heading2"/>
        <w:rPr>
          <w:lang w:val="en"/>
        </w:rPr>
      </w:pPr>
      <w:r w:rsidRPr="002A7AE3">
        <w:rPr>
          <w:lang w:val="en"/>
        </w:rPr>
        <w:t>Evaluation Methods:</w:t>
      </w:r>
    </w:p>
    <w:p w14:paraId="7A05F622" w14:textId="7C9DCCA3" w:rsidR="002A7AE3" w:rsidRPr="002A7AE3" w:rsidRDefault="002A7AE3" w:rsidP="002A7AE3">
      <w:pPr>
        <w:pStyle w:val="NormalWeb"/>
        <w:shd w:val="clear" w:color="auto" w:fill="FFFFFF"/>
        <w:jc w:val="both"/>
        <w:rPr>
          <w:rFonts w:asciiTheme="minorHAnsi" w:hAnsiTheme="minorHAnsi"/>
          <w:sz w:val="18"/>
          <w:szCs w:val="18"/>
          <w:lang w:val="en"/>
        </w:rPr>
      </w:pPr>
      <w:r w:rsidRPr="002A7AE3">
        <w:rPr>
          <w:rFonts w:asciiTheme="minorHAnsi" w:hAnsiTheme="minorHAnsi"/>
          <w:sz w:val="18"/>
          <w:szCs w:val="18"/>
          <w:lang w:val="en"/>
        </w:rPr>
        <w:t xml:space="preserve">Students will be graded based on class attendance, participation, </w:t>
      </w:r>
      <w:r w:rsidR="00EE474C">
        <w:rPr>
          <w:rFonts w:asciiTheme="minorHAnsi" w:hAnsiTheme="minorHAnsi"/>
          <w:sz w:val="18"/>
          <w:szCs w:val="18"/>
          <w:lang w:val="en"/>
        </w:rPr>
        <w:t xml:space="preserve">a </w:t>
      </w:r>
      <w:r w:rsidR="000F15C7">
        <w:rPr>
          <w:rFonts w:asciiTheme="minorHAnsi" w:hAnsiTheme="minorHAnsi"/>
          <w:sz w:val="18"/>
          <w:szCs w:val="18"/>
          <w:lang w:val="en"/>
        </w:rPr>
        <w:t xml:space="preserve">paper </w:t>
      </w:r>
      <w:r w:rsidR="00917E90">
        <w:rPr>
          <w:rFonts w:asciiTheme="minorHAnsi" w:hAnsiTheme="minorHAnsi"/>
          <w:sz w:val="18"/>
          <w:szCs w:val="18"/>
          <w:lang w:val="en"/>
        </w:rPr>
        <w:t xml:space="preserve">presentation </w:t>
      </w:r>
      <w:r w:rsidRPr="002A7AE3">
        <w:rPr>
          <w:rFonts w:asciiTheme="minorHAnsi" w:hAnsiTheme="minorHAnsi"/>
          <w:sz w:val="18"/>
          <w:szCs w:val="18"/>
          <w:lang w:val="en"/>
        </w:rPr>
        <w:t xml:space="preserve">and </w:t>
      </w:r>
      <w:r w:rsidR="000F15C7">
        <w:rPr>
          <w:rFonts w:asciiTheme="minorHAnsi" w:hAnsiTheme="minorHAnsi"/>
          <w:sz w:val="18"/>
          <w:szCs w:val="18"/>
          <w:lang w:val="en"/>
        </w:rPr>
        <w:t xml:space="preserve">two group </w:t>
      </w:r>
      <w:r w:rsidR="00917E90">
        <w:rPr>
          <w:rFonts w:asciiTheme="minorHAnsi" w:hAnsiTheme="minorHAnsi"/>
          <w:sz w:val="18"/>
          <w:szCs w:val="18"/>
          <w:lang w:val="en"/>
        </w:rPr>
        <w:t>project</w:t>
      </w:r>
      <w:r w:rsidR="000F15C7">
        <w:rPr>
          <w:rFonts w:asciiTheme="minorHAnsi" w:hAnsiTheme="minorHAnsi"/>
          <w:sz w:val="18"/>
          <w:szCs w:val="18"/>
          <w:lang w:val="en"/>
        </w:rPr>
        <w:t xml:space="preserve"> presentations</w:t>
      </w:r>
      <w:r w:rsidRPr="002A7AE3">
        <w:rPr>
          <w:rFonts w:asciiTheme="minorHAnsi" w:hAnsiTheme="minorHAnsi"/>
          <w:sz w:val="18"/>
          <w:szCs w:val="18"/>
          <w:lang w:val="en"/>
        </w:rPr>
        <w:t>.</w:t>
      </w:r>
    </w:p>
    <w:p w14:paraId="51C06E29" w14:textId="0EF7BB8E" w:rsidR="002A7AE3" w:rsidRPr="002A7AE3" w:rsidRDefault="002A7AE3" w:rsidP="002A7AE3">
      <w:pPr>
        <w:pStyle w:val="NormalWeb"/>
        <w:shd w:val="clear" w:color="auto" w:fill="FFFFFF"/>
        <w:jc w:val="both"/>
        <w:rPr>
          <w:rFonts w:asciiTheme="minorHAnsi" w:hAnsiTheme="minorHAnsi"/>
          <w:sz w:val="18"/>
          <w:szCs w:val="18"/>
          <w:lang w:val="en"/>
        </w:rPr>
      </w:pPr>
      <w:r w:rsidRPr="002A7AE3">
        <w:rPr>
          <w:rFonts w:asciiTheme="minorHAnsi" w:hAnsiTheme="minorHAnsi"/>
          <w:sz w:val="18"/>
          <w:szCs w:val="18"/>
          <w:lang w:val="en"/>
        </w:rPr>
        <w:t xml:space="preserve">30% – </w:t>
      </w:r>
      <w:r w:rsidR="000F15C7">
        <w:rPr>
          <w:rFonts w:asciiTheme="minorHAnsi" w:hAnsiTheme="minorHAnsi"/>
          <w:sz w:val="18"/>
          <w:szCs w:val="18"/>
          <w:lang w:val="en"/>
        </w:rPr>
        <w:t>Attendance</w:t>
      </w:r>
      <w:r w:rsidR="00917E90">
        <w:rPr>
          <w:rFonts w:asciiTheme="minorHAnsi" w:hAnsiTheme="minorHAnsi"/>
          <w:sz w:val="18"/>
          <w:szCs w:val="18"/>
          <w:lang w:val="en"/>
        </w:rPr>
        <w:t xml:space="preserve"> and Class </w:t>
      </w:r>
      <w:r w:rsidRPr="002A7AE3">
        <w:rPr>
          <w:rFonts w:asciiTheme="minorHAnsi" w:hAnsiTheme="minorHAnsi"/>
          <w:sz w:val="18"/>
          <w:szCs w:val="18"/>
          <w:lang w:val="en"/>
        </w:rPr>
        <w:t>Participation</w:t>
      </w:r>
    </w:p>
    <w:p w14:paraId="5E4F05D1" w14:textId="022A1848" w:rsidR="002A7AE3" w:rsidRPr="002A7AE3" w:rsidRDefault="00B7020E" w:rsidP="002A7AE3">
      <w:pPr>
        <w:pStyle w:val="NormalWeb"/>
        <w:shd w:val="clear" w:color="auto" w:fill="FFFFFF"/>
        <w:jc w:val="both"/>
        <w:rPr>
          <w:rFonts w:asciiTheme="minorHAnsi" w:hAnsiTheme="minorHAnsi"/>
          <w:sz w:val="18"/>
          <w:szCs w:val="18"/>
          <w:lang w:val="en"/>
        </w:rPr>
      </w:pPr>
      <w:r>
        <w:rPr>
          <w:rFonts w:asciiTheme="minorHAnsi" w:hAnsiTheme="minorHAnsi"/>
          <w:sz w:val="18"/>
          <w:szCs w:val="18"/>
          <w:lang w:val="en"/>
        </w:rPr>
        <w:t>30</w:t>
      </w:r>
      <w:r w:rsidR="002A7AE3" w:rsidRPr="002A7AE3">
        <w:rPr>
          <w:rFonts w:asciiTheme="minorHAnsi" w:hAnsiTheme="minorHAnsi"/>
          <w:sz w:val="18"/>
          <w:szCs w:val="18"/>
          <w:lang w:val="en"/>
        </w:rPr>
        <w:t xml:space="preserve">% – </w:t>
      </w:r>
      <w:r w:rsidR="000F15C7">
        <w:rPr>
          <w:rFonts w:asciiTheme="minorHAnsi" w:hAnsiTheme="minorHAnsi"/>
          <w:sz w:val="18"/>
          <w:szCs w:val="18"/>
          <w:lang w:val="en"/>
        </w:rPr>
        <w:t xml:space="preserve">Paper </w:t>
      </w:r>
      <w:r w:rsidR="002A7AE3" w:rsidRPr="002A7AE3">
        <w:rPr>
          <w:rFonts w:asciiTheme="minorHAnsi" w:hAnsiTheme="minorHAnsi"/>
          <w:sz w:val="18"/>
          <w:szCs w:val="18"/>
          <w:lang w:val="en"/>
        </w:rPr>
        <w:t xml:space="preserve">Presentation </w:t>
      </w:r>
    </w:p>
    <w:p w14:paraId="189F047C" w14:textId="1B909598" w:rsidR="002A7AE3" w:rsidRPr="00AF2434" w:rsidRDefault="000F15C7" w:rsidP="002A7AE3">
      <w:pPr>
        <w:pStyle w:val="NormalWeb"/>
        <w:shd w:val="clear" w:color="auto" w:fill="FFFFFF"/>
        <w:jc w:val="both"/>
        <w:rPr>
          <w:rFonts w:asciiTheme="minorHAnsi" w:hAnsiTheme="minorHAnsi"/>
          <w:sz w:val="18"/>
          <w:szCs w:val="18"/>
          <w:lang w:val="fr-FR"/>
        </w:rPr>
      </w:pPr>
      <w:r w:rsidRPr="00AF2434">
        <w:rPr>
          <w:rFonts w:asciiTheme="minorHAnsi" w:hAnsiTheme="minorHAnsi"/>
          <w:sz w:val="18"/>
          <w:szCs w:val="18"/>
          <w:lang w:val="fr-FR"/>
        </w:rPr>
        <w:t>2</w:t>
      </w:r>
      <w:r w:rsidR="00B7020E">
        <w:rPr>
          <w:rFonts w:asciiTheme="minorHAnsi" w:hAnsiTheme="minorHAnsi"/>
          <w:sz w:val="18"/>
          <w:szCs w:val="18"/>
          <w:lang w:val="fr-FR"/>
        </w:rPr>
        <w:t>0</w:t>
      </w:r>
      <w:r w:rsidR="002A7AE3" w:rsidRPr="00AF2434">
        <w:rPr>
          <w:rFonts w:asciiTheme="minorHAnsi" w:hAnsiTheme="minorHAnsi"/>
          <w:sz w:val="18"/>
          <w:szCs w:val="18"/>
          <w:lang w:val="fr-FR"/>
        </w:rPr>
        <w:t xml:space="preserve">% – </w:t>
      </w:r>
      <w:r w:rsidR="00E30264" w:rsidRPr="00AF2434">
        <w:rPr>
          <w:rFonts w:asciiTheme="minorHAnsi" w:hAnsiTheme="minorHAnsi"/>
          <w:sz w:val="18"/>
          <w:szCs w:val="18"/>
          <w:lang w:val="fr-FR"/>
        </w:rPr>
        <w:t>Project</w:t>
      </w:r>
      <w:r w:rsidR="00913DAC" w:rsidRPr="00AF2434">
        <w:rPr>
          <w:rFonts w:asciiTheme="minorHAnsi" w:hAnsiTheme="minorHAnsi"/>
          <w:sz w:val="18"/>
          <w:szCs w:val="18"/>
          <w:lang w:val="fr-FR"/>
        </w:rPr>
        <w:t xml:space="preserve"> </w:t>
      </w:r>
      <w:proofErr w:type="spellStart"/>
      <w:r w:rsidRPr="00AF2434">
        <w:rPr>
          <w:rFonts w:asciiTheme="minorHAnsi" w:hAnsiTheme="minorHAnsi"/>
          <w:sz w:val="18"/>
          <w:szCs w:val="18"/>
          <w:lang w:val="fr-FR"/>
        </w:rPr>
        <w:t>Presentation</w:t>
      </w:r>
      <w:proofErr w:type="spellEnd"/>
      <w:r w:rsidRPr="00AF2434">
        <w:rPr>
          <w:rFonts w:asciiTheme="minorHAnsi" w:hAnsiTheme="minorHAnsi"/>
          <w:sz w:val="18"/>
          <w:szCs w:val="18"/>
          <w:lang w:val="fr-FR"/>
        </w:rPr>
        <w:t xml:space="preserve"> #1</w:t>
      </w:r>
    </w:p>
    <w:p w14:paraId="31C2853D" w14:textId="48175410" w:rsidR="000F15C7" w:rsidRPr="00AF2434" w:rsidRDefault="000F15C7" w:rsidP="002A7AE3">
      <w:pPr>
        <w:pStyle w:val="NormalWeb"/>
        <w:shd w:val="clear" w:color="auto" w:fill="FFFFFF"/>
        <w:jc w:val="both"/>
        <w:rPr>
          <w:rFonts w:asciiTheme="minorHAnsi" w:hAnsiTheme="minorHAnsi"/>
          <w:b/>
          <w:sz w:val="18"/>
          <w:szCs w:val="18"/>
          <w:lang w:val="fr-FR"/>
        </w:rPr>
      </w:pPr>
      <w:r w:rsidRPr="00AF2434">
        <w:rPr>
          <w:rFonts w:asciiTheme="minorHAnsi" w:hAnsiTheme="minorHAnsi"/>
          <w:sz w:val="18"/>
          <w:szCs w:val="18"/>
          <w:lang w:val="fr-FR"/>
        </w:rPr>
        <w:t>2</w:t>
      </w:r>
      <w:r w:rsidR="00B7020E">
        <w:rPr>
          <w:rFonts w:asciiTheme="minorHAnsi" w:hAnsiTheme="minorHAnsi"/>
          <w:sz w:val="18"/>
          <w:szCs w:val="18"/>
          <w:lang w:val="fr-FR"/>
        </w:rPr>
        <w:t>0</w:t>
      </w:r>
      <w:r w:rsidRPr="00AF2434">
        <w:rPr>
          <w:rFonts w:asciiTheme="minorHAnsi" w:hAnsiTheme="minorHAnsi"/>
          <w:sz w:val="18"/>
          <w:szCs w:val="18"/>
          <w:lang w:val="fr-FR"/>
        </w:rPr>
        <w:t xml:space="preserve">% - Project </w:t>
      </w:r>
      <w:proofErr w:type="spellStart"/>
      <w:r w:rsidRPr="00AF2434">
        <w:rPr>
          <w:rFonts w:asciiTheme="minorHAnsi" w:hAnsiTheme="minorHAnsi"/>
          <w:sz w:val="18"/>
          <w:szCs w:val="18"/>
          <w:lang w:val="fr-FR"/>
        </w:rPr>
        <w:t>Presentation</w:t>
      </w:r>
      <w:proofErr w:type="spellEnd"/>
      <w:r w:rsidRPr="00AF2434">
        <w:rPr>
          <w:rFonts w:asciiTheme="minorHAnsi" w:hAnsiTheme="minorHAnsi"/>
          <w:sz w:val="18"/>
          <w:szCs w:val="18"/>
          <w:lang w:val="fr-FR"/>
        </w:rPr>
        <w:t xml:space="preserve"> #2</w:t>
      </w:r>
    </w:p>
    <w:p w14:paraId="33161344" w14:textId="77777777" w:rsidR="002B042E" w:rsidRPr="00AF2434" w:rsidRDefault="002B042E" w:rsidP="002A7AE3">
      <w:pPr>
        <w:spacing w:after="0"/>
        <w:rPr>
          <w:b/>
          <w:bCs/>
          <w:szCs w:val="22"/>
          <w:lang w:val="fr-FR"/>
        </w:rPr>
      </w:pPr>
    </w:p>
    <w:p w14:paraId="20830F44" w14:textId="77777777" w:rsidR="0028231F" w:rsidRPr="00AF2434" w:rsidRDefault="0028231F" w:rsidP="002A7AE3">
      <w:pPr>
        <w:spacing w:after="0"/>
        <w:rPr>
          <w:b/>
          <w:bCs/>
          <w:szCs w:val="22"/>
          <w:lang w:val="fr-FR"/>
        </w:rPr>
      </w:pPr>
    </w:p>
    <w:p w14:paraId="74D2BAF0" w14:textId="5E800B67" w:rsidR="00503597" w:rsidRPr="00AF2434" w:rsidRDefault="00503597" w:rsidP="00E9038F">
      <w:pPr>
        <w:pStyle w:val="NormalWeb"/>
        <w:shd w:val="clear" w:color="auto" w:fill="FFFFFF"/>
        <w:jc w:val="both"/>
        <w:rPr>
          <w:rFonts w:asciiTheme="minorHAnsi" w:eastAsiaTheme="minorHAnsi" w:hAnsiTheme="minorHAnsi" w:cstheme="minorBidi"/>
          <w:b/>
          <w:sz w:val="18"/>
          <w:szCs w:val="18"/>
          <w:u w:val="single"/>
          <w:lang w:val="fr-FR"/>
        </w:rPr>
      </w:pPr>
      <w:r w:rsidRPr="00AF2434">
        <w:rPr>
          <w:rFonts w:asciiTheme="minorHAnsi" w:eastAsiaTheme="minorHAnsi" w:hAnsiTheme="minorHAnsi" w:cstheme="minorBidi"/>
          <w:b/>
          <w:sz w:val="18"/>
          <w:szCs w:val="18"/>
          <w:u w:val="single"/>
          <w:lang w:val="fr-FR"/>
        </w:rPr>
        <w:t>Attendance &amp; Participation (30%)</w:t>
      </w:r>
    </w:p>
    <w:p w14:paraId="4F50815F" w14:textId="77777777" w:rsidR="00503597" w:rsidRPr="00AF2434" w:rsidRDefault="00503597" w:rsidP="00E9038F">
      <w:pPr>
        <w:pStyle w:val="NormalWeb"/>
        <w:shd w:val="clear" w:color="auto" w:fill="FFFFFF"/>
        <w:jc w:val="both"/>
        <w:rPr>
          <w:rFonts w:asciiTheme="minorHAnsi" w:eastAsiaTheme="minorHAnsi" w:hAnsiTheme="minorHAnsi" w:cstheme="minorBidi"/>
          <w:b/>
          <w:sz w:val="18"/>
          <w:szCs w:val="18"/>
          <w:lang w:val="fr-FR"/>
        </w:rPr>
      </w:pPr>
    </w:p>
    <w:p w14:paraId="5F551BE2" w14:textId="2DAFB600" w:rsidR="00F638E6" w:rsidRDefault="0028231F" w:rsidP="00E9038F">
      <w:pPr>
        <w:pStyle w:val="NormalWeb"/>
        <w:shd w:val="clear" w:color="auto" w:fill="FFFFFF"/>
        <w:jc w:val="both"/>
        <w:rPr>
          <w:rFonts w:asciiTheme="minorHAnsi" w:hAnsiTheme="minorHAnsi"/>
          <w:sz w:val="18"/>
          <w:szCs w:val="18"/>
          <w:lang w:val="en"/>
        </w:rPr>
      </w:pPr>
      <w:r w:rsidRPr="00E9038F">
        <w:rPr>
          <w:rFonts w:asciiTheme="minorHAnsi" w:eastAsiaTheme="minorHAnsi" w:hAnsiTheme="minorHAnsi" w:cstheme="minorBidi"/>
          <w:b/>
          <w:sz w:val="18"/>
          <w:szCs w:val="18"/>
        </w:rPr>
        <w:t>Attendance:</w:t>
      </w:r>
      <w:r w:rsidRPr="00E9038F">
        <w:rPr>
          <w:rFonts w:asciiTheme="minorHAnsi" w:eastAsiaTheme="minorHAnsi" w:hAnsiTheme="minorHAnsi" w:cstheme="minorBidi"/>
          <w:sz w:val="18"/>
          <w:szCs w:val="18"/>
        </w:rPr>
        <w:br/>
      </w:r>
      <w:r w:rsidR="005A7F10" w:rsidRPr="005A7F10">
        <w:rPr>
          <w:rFonts w:asciiTheme="minorHAnsi" w:hAnsiTheme="minorHAnsi"/>
          <w:sz w:val="18"/>
          <w:szCs w:val="18"/>
          <w:lang w:val="en"/>
        </w:rPr>
        <w:t xml:space="preserve">Students are expected to attend </w:t>
      </w:r>
      <w:r w:rsidR="005A7F10" w:rsidRPr="005A7F10">
        <w:rPr>
          <w:rFonts w:asciiTheme="minorHAnsi" w:hAnsiTheme="minorHAnsi"/>
          <w:i/>
          <w:sz w:val="18"/>
          <w:szCs w:val="18"/>
          <w:lang w:val="en"/>
        </w:rPr>
        <w:t>and participate</w:t>
      </w:r>
      <w:r w:rsidR="005A7F10" w:rsidRPr="005A7F10">
        <w:rPr>
          <w:rFonts w:asciiTheme="minorHAnsi" w:hAnsiTheme="minorHAnsi"/>
          <w:sz w:val="18"/>
          <w:szCs w:val="18"/>
          <w:lang w:val="en"/>
        </w:rPr>
        <w:t xml:space="preserve"> in all classes. If for any reason a student will not be in class, they should contact Dr. Milone (</w:t>
      </w:r>
      <w:hyperlink r:id="rId10" w:history="1">
        <w:r w:rsidR="00033CA8" w:rsidRPr="00033CA8">
          <w:rPr>
            <w:rStyle w:val="Hyperlink"/>
            <w:rFonts w:asciiTheme="minorHAnsi" w:hAnsiTheme="minorHAnsi"/>
            <w:sz w:val="18"/>
            <w:szCs w:val="18"/>
          </w:rPr>
          <w:t>milone@pennmedicine.upenn.edu</w:t>
        </w:r>
      </w:hyperlink>
      <w:r w:rsidR="005A7F10" w:rsidRPr="005A7F10">
        <w:rPr>
          <w:rFonts w:asciiTheme="minorHAnsi" w:hAnsiTheme="minorHAnsi"/>
          <w:sz w:val="18"/>
          <w:szCs w:val="18"/>
          <w:lang w:val="en"/>
        </w:rPr>
        <w:t xml:space="preserve">) </w:t>
      </w:r>
      <w:r w:rsidR="00B7020E">
        <w:rPr>
          <w:rFonts w:asciiTheme="minorHAnsi" w:hAnsiTheme="minorHAnsi"/>
          <w:sz w:val="18"/>
          <w:szCs w:val="18"/>
          <w:lang w:val="en"/>
        </w:rPr>
        <w:t>or Dr. Hexner (</w:t>
      </w:r>
      <w:hyperlink r:id="rId11" w:history="1">
        <w:r w:rsidR="00B7020E" w:rsidRPr="00622C66">
          <w:rPr>
            <w:rStyle w:val="Hyperlink"/>
            <w:rFonts w:asciiTheme="minorHAnsi" w:hAnsiTheme="minorHAnsi"/>
            <w:sz w:val="18"/>
            <w:szCs w:val="18"/>
            <w:lang w:val="en"/>
          </w:rPr>
          <w:t>hexnere@pennmedicine.upenn.edu</w:t>
        </w:r>
      </w:hyperlink>
      <w:r w:rsidR="00B7020E">
        <w:rPr>
          <w:rFonts w:asciiTheme="minorHAnsi" w:hAnsiTheme="minorHAnsi"/>
          <w:sz w:val="18"/>
          <w:szCs w:val="18"/>
          <w:lang w:val="en"/>
        </w:rPr>
        <w:t xml:space="preserve">) </w:t>
      </w:r>
      <w:r w:rsidR="005A7F10" w:rsidRPr="005A7F10">
        <w:rPr>
          <w:rFonts w:asciiTheme="minorHAnsi" w:hAnsiTheme="minorHAnsi"/>
          <w:sz w:val="18"/>
          <w:szCs w:val="18"/>
          <w:lang w:val="en"/>
        </w:rPr>
        <w:t xml:space="preserve">prior to class </w:t>
      </w:r>
      <w:r w:rsidR="00BF432D">
        <w:rPr>
          <w:rFonts w:asciiTheme="minorHAnsi" w:hAnsiTheme="minorHAnsi"/>
          <w:sz w:val="18"/>
          <w:szCs w:val="18"/>
          <w:lang w:val="en"/>
        </w:rPr>
        <w:t xml:space="preserve">and copy </w:t>
      </w:r>
      <w:hyperlink r:id="rId12" w:history="1">
        <w:r w:rsidR="00BF432D" w:rsidRPr="007D2DE7">
          <w:rPr>
            <w:rStyle w:val="Hyperlink"/>
            <w:rFonts w:asciiTheme="minorHAnsi" w:hAnsiTheme="minorHAnsi"/>
            <w:sz w:val="18"/>
            <w:szCs w:val="18"/>
            <w:lang w:val="en"/>
          </w:rPr>
          <w:t>mmaxwell@upenn.edu</w:t>
        </w:r>
      </w:hyperlink>
      <w:r w:rsidR="00BF432D">
        <w:rPr>
          <w:rFonts w:asciiTheme="minorHAnsi" w:hAnsiTheme="minorHAnsi"/>
          <w:sz w:val="18"/>
          <w:szCs w:val="18"/>
          <w:lang w:val="en"/>
        </w:rPr>
        <w:t xml:space="preserve"> </w:t>
      </w:r>
      <w:r w:rsidR="005A7F10">
        <w:rPr>
          <w:rFonts w:asciiTheme="minorHAnsi" w:hAnsiTheme="minorHAnsi"/>
          <w:sz w:val="18"/>
          <w:szCs w:val="18"/>
          <w:lang w:val="en"/>
        </w:rPr>
        <w:t xml:space="preserve">to alert </w:t>
      </w:r>
      <w:r w:rsidR="00B7020E">
        <w:rPr>
          <w:rFonts w:asciiTheme="minorHAnsi" w:hAnsiTheme="minorHAnsi"/>
          <w:sz w:val="18"/>
          <w:szCs w:val="18"/>
          <w:lang w:val="en"/>
        </w:rPr>
        <w:t>them</w:t>
      </w:r>
      <w:r w:rsidR="005A7F10" w:rsidRPr="005A7F10">
        <w:rPr>
          <w:rFonts w:asciiTheme="minorHAnsi" w:hAnsiTheme="minorHAnsi"/>
          <w:sz w:val="18"/>
          <w:szCs w:val="18"/>
          <w:lang w:val="en"/>
        </w:rPr>
        <w:t xml:space="preserve"> of the absence and make arrangements to make up course content. </w:t>
      </w:r>
      <w:r w:rsidR="00B7020E">
        <w:rPr>
          <w:rFonts w:asciiTheme="minorHAnsi" w:hAnsiTheme="minorHAnsi"/>
          <w:sz w:val="18"/>
          <w:szCs w:val="18"/>
          <w:lang w:val="en"/>
        </w:rPr>
        <w:t>Two</w:t>
      </w:r>
      <w:r w:rsidR="005A7F10" w:rsidRPr="005A7F10">
        <w:rPr>
          <w:rFonts w:asciiTheme="minorHAnsi" w:hAnsiTheme="minorHAnsi"/>
          <w:sz w:val="18"/>
          <w:szCs w:val="18"/>
          <w:lang w:val="en"/>
        </w:rPr>
        <w:t xml:space="preserve"> </w:t>
      </w:r>
      <w:r w:rsidR="00B7020E">
        <w:rPr>
          <w:rFonts w:asciiTheme="minorHAnsi" w:hAnsiTheme="minorHAnsi"/>
          <w:sz w:val="18"/>
          <w:szCs w:val="18"/>
          <w:lang w:val="en"/>
        </w:rPr>
        <w:lastRenderedPageBreak/>
        <w:t xml:space="preserve">excused </w:t>
      </w:r>
      <w:r w:rsidR="005A7F10" w:rsidRPr="005A7F10">
        <w:rPr>
          <w:rFonts w:asciiTheme="minorHAnsi" w:hAnsiTheme="minorHAnsi"/>
          <w:sz w:val="18"/>
          <w:szCs w:val="18"/>
          <w:lang w:val="en"/>
        </w:rPr>
        <w:t>absence</w:t>
      </w:r>
      <w:r w:rsidR="00B7020E">
        <w:rPr>
          <w:rFonts w:asciiTheme="minorHAnsi" w:hAnsiTheme="minorHAnsi"/>
          <w:sz w:val="18"/>
          <w:szCs w:val="18"/>
          <w:lang w:val="en"/>
        </w:rPr>
        <w:t>s</w:t>
      </w:r>
      <w:r w:rsidR="005A7F10" w:rsidRPr="005A7F10">
        <w:rPr>
          <w:rFonts w:asciiTheme="minorHAnsi" w:hAnsiTheme="minorHAnsi"/>
          <w:sz w:val="18"/>
          <w:szCs w:val="18"/>
          <w:lang w:val="en"/>
        </w:rPr>
        <w:t xml:space="preserve"> </w:t>
      </w:r>
      <w:r w:rsidR="00B7020E">
        <w:rPr>
          <w:rFonts w:asciiTheme="minorHAnsi" w:hAnsiTheme="minorHAnsi"/>
          <w:sz w:val="18"/>
          <w:szCs w:val="18"/>
          <w:lang w:val="en"/>
        </w:rPr>
        <w:t>are</w:t>
      </w:r>
      <w:r w:rsidR="005A7F10" w:rsidRPr="005A7F10">
        <w:rPr>
          <w:rFonts w:asciiTheme="minorHAnsi" w:hAnsiTheme="minorHAnsi"/>
          <w:sz w:val="18"/>
          <w:szCs w:val="18"/>
          <w:lang w:val="en"/>
        </w:rPr>
        <w:t xml:space="preserve"> allowed during the course which will not affect the attendance grade. </w:t>
      </w:r>
      <w:r w:rsidR="00CC2C9D">
        <w:rPr>
          <w:rFonts w:asciiTheme="minorHAnsi" w:hAnsiTheme="minorHAnsi"/>
          <w:sz w:val="18"/>
          <w:szCs w:val="18"/>
          <w:lang w:val="en"/>
        </w:rPr>
        <w:t xml:space="preserve">Absences </w:t>
      </w:r>
      <w:proofErr w:type="gramStart"/>
      <w:r w:rsidR="00CC2C9D">
        <w:rPr>
          <w:rFonts w:asciiTheme="minorHAnsi" w:hAnsiTheme="minorHAnsi"/>
          <w:sz w:val="18"/>
          <w:szCs w:val="18"/>
          <w:lang w:val="en"/>
        </w:rPr>
        <w:t>in excess of</w:t>
      </w:r>
      <w:proofErr w:type="gramEnd"/>
      <w:r w:rsidR="00CC2C9D">
        <w:rPr>
          <w:rFonts w:asciiTheme="minorHAnsi" w:hAnsiTheme="minorHAnsi"/>
          <w:sz w:val="18"/>
          <w:szCs w:val="18"/>
          <w:lang w:val="en"/>
        </w:rPr>
        <w:t xml:space="preserve"> two will result in 1 point deducted from the attendance portion of the grade.</w:t>
      </w:r>
    </w:p>
    <w:p w14:paraId="4FC28770" w14:textId="77777777" w:rsidR="00503597" w:rsidRDefault="00503597" w:rsidP="00503597">
      <w:pPr>
        <w:pStyle w:val="NormalWeb"/>
        <w:shd w:val="clear" w:color="auto" w:fill="FFFFFF"/>
        <w:rPr>
          <w:rFonts w:asciiTheme="minorHAnsi" w:hAnsiTheme="minorHAnsi"/>
          <w:b/>
          <w:sz w:val="18"/>
          <w:szCs w:val="18"/>
          <w:lang w:val="en"/>
        </w:rPr>
      </w:pPr>
    </w:p>
    <w:p w14:paraId="1ED11030" w14:textId="77777777" w:rsidR="00503597" w:rsidRPr="00503597" w:rsidRDefault="00503597" w:rsidP="00503597">
      <w:pPr>
        <w:pStyle w:val="NormalWeb"/>
        <w:shd w:val="clear" w:color="auto" w:fill="FFFFFF"/>
        <w:rPr>
          <w:rFonts w:asciiTheme="minorHAnsi" w:hAnsiTheme="minorHAnsi"/>
          <w:b/>
          <w:sz w:val="18"/>
          <w:szCs w:val="18"/>
          <w:lang w:val="en"/>
        </w:rPr>
      </w:pPr>
      <w:r w:rsidRPr="00503597">
        <w:rPr>
          <w:rFonts w:asciiTheme="minorHAnsi" w:hAnsiTheme="minorHAnsi"/>
          <w:b/>
          <w:sz w:val="18"/>
          <w:szCs w:val="18"/>
          <w:lang w:val="en"/>
        </w:rPr>
        <w:t>Participation:</w:t>
      </w:r>
    </w:p>
    <w:p w14:paraId="5566D49B" w14:textId="7FF23ED2" w:rsidR="00503597" w:rsidRPr="00503597" w:rsidRDefault="7F16A4B5" w:rsidP="7F16A4B5">
      <w:pPr>
        <w:pStyle w:val="NormalWeb"/>
        <w:shd w:val="clear" w:color="auto" w:fill="FFFFFF" w:themeFill="background1"/>
        <w:jc w:val="both"/>
        <w:rPr>
          <w:rFonts w:asciiTheme="minorHAnsi" w:hAnsiTheme="minorHAnsi"/>
          <w:sz w:val="18"/>
          <w:szCs w:val="18"/>
          <w:lang w:val="en"/>
        </w:rPr>
      </w:pPr>
      <w:r w:rsidRPr="7F16A4B5">
        <w:rPr>
          <w:rFonts w:asciiTheme="minorHAnsi" w:hAnsiTheme="minorHAnsi"/>
          <w:sz w:val="18"/>
          <w:szCs w:val="18"/>
          <w:lang w:val="en"/>
        </w:rPr>
        <w:t xml:space="preserve">Prior to each class, materials will be posted online to the Canvas course site. Students are expected to watch and read the materials and </w:t>
      </w:r>
      <w:r w:rsidRPr="7F16A4B5">
        <w:rPr>
          <w:rFonts w:asciiTheme="minorHAnsi" w:hAnsiTheme="minorHAnsi"/>
          <w:b/>
          <w:bCs/>
          <w:sz w:val="18"/>
          <w:szCs w:val="18"/>
          <w:u w:val="single"/>
          <w:lang w:val="en"/>
        </w:rPr>
        <w:t>come to class prepared with to discussion the material</w:t>
      </w:r>
      <w:r w:rsidRPr="7F16A4B5">
        <w:rPr>
          <w:rFonts w:asciiTheme="minorHAnsi" w:hAnsiTheme="minorHAnsi"/>
          <w:sz w:val="18"/>
          <w:szCs w:val="18"/>
          <w:u w:val="single"/>
          <w:lang w:val="en"/>
        </w:rPr>
        <w:t>.</w:t>
      </w:r>
      <w:r w:rsidRPr="7F16A4B5">
        <w:rPr>
          <w:rFonts w:asciiTheme="minorHAnsi" w:hAnsiTheme="minorHAnsi"/>
          <w:sz w:val="18"/>
          <w:szCs w:val="18"/>
          <w:lang w:val="en"/>
        </w:rPr>
        <w:t xml:space="preserve"> Each class will involve discussion in which you are expected to participate. Your engagement and participation are important not only for your own learning but also for the learning of others. </w:t>
      </w:r>
    </w:p>
    <w:p w14:paraId="08691888" w14:textId="77777777" w:rsidR="006456A8" w:rsidRDefault="006456A8" w:rsidP="00503597">
      <w:pPr>
        <w:pStyle w:val="NormalWeb"/>
        <w:shd w:val="clear" w:color="auto" w:fill="FFFFFF"/>
        <w:rPr>
          <w:rFonts w:asciiTheme="minorHAnsi" w:hAnsiTheme="minorHAnsi"/>
          <w:sz w:val="18"/>
          <w:szCs w:val="18"/>
        </w:rPr>
      </w:pPr>
    </w:p>
    <w:p w14:paraId="1764D772" w14:textId="2FEC0B89" w:rsidR="00503597" w:rsidRPr="00503597" w:rsidRDefault="00503597" w:rsidP="00503597">
      <w:pPr>
        <w:pStyle w:val="NormalWeb"/>
        <w:shd w:val="clear" w:color="auto" w:fill="FFFFFF"/>
        <w:rPr>
          <w:rFonts w:asciiTheme="minorHAnsi" w:hAnsiTheme="minorHAnsi"/>
          <w:b/>
          <w:sz w:val="18"/>
          <w:szCs w:val="18"/>
          <w:u w:val="single"/>
          <w:lang w:val="en"/>
        </w:rPr>
      </w:pPr>
      <w:r w:rsidRPr="00503597">
        <w:rPr>
          <w:rFonts w:asciiTheme="minorHAnsi" w:hAnsiTheme="minorHAnsi"/>
          <w:b/>
          <w:sz w:val="18"/>
          <w:szCs w:val="18"/>
          <w:u w:val="single"/>
          <w:lang w:val="en"/>
        </w:rPr>
        <w:t>Paper discussion (</w:t>
      </w:r>
      <w:r w:rsidR="00B7020E">
        <w:rPr>
          <w:rFonts w:asciiTheme="minorHAnsi" w:hAnsiTheme="minorHAnsi"/>
          <w:b/>
          <w:sz w:val="18"/>
          <w:szCs w:val="18"/>
          <w:u w:val="single"/>
          <w:lang w:val="en"/>
        </w:rPr>
        <w:t>3</w:t>
      </w:r>
      <w:r w:rsidRPr="00503597">
        <w:rPr>
          <w:rFonts w:asciiTheme="minorHAnsi" w:hAnsiTheme="minorHAnsi"/>
          <w:b/>
          <w:sz w:val="18"/>
          <w:szCs w:val="18"/>
          <w:u w:val="single"/>
          <w:lang w:val="en"/>
        </w:rPr>
        <w:t>0%):</w:t>
      </w:r>
    </w:p>
    <w:p w14:paraId="5D2C7159" w14:textId="621BDBCF" w:rsidR="00B7020E" w:rsidRDefault="00B7020E" w:rsidP="00503597">
      <w:pPr>
        <w:pStyle w:val="NormalWeb"/>
        <w:shd w:val="clear" w:color="auto" w:fill="FFFFFF"/>
        <w:jc w:val="both"/>
        <w:rPr>
          <w:rFonts w:asciiTheme="minorHAnsi" w:hAnsiTheme="minorHAnsi"/>
          <w:sz w:val="18"/>
          <w:szCs w:val="18"/>
          <w:lang w:val="en"/>
        </w:rPr>
      </w:pPr>
      <w:r>
        <w:rPr>
          <w:rFonts w:asciiTheme="minorHAnsi" w:hAnsiTheme="minorHAnsi"/>
          <w:sz w:val="18"/>
          <w:szCs w:val="18"/>
          <w:lang w:val="en"/>
        </w:rPr>
        <w:t>S</w:t>
      </w:r>
      <w:r w:rsidR="00503597" w:rsidRPr="00503597">
        <w:rPr>
          <w:rFonts w:asciiTheme="minorHAnsi" w:hAnsiTheme="minorHAnsi"/>
          <w:sz w:val="18"/>
          <w:szCs w:val="18"/>
          <w:lang w:val="en"/>
        </w:rPr>
        <w:t>tudent</w:t>
      </w:r>
      <w:r>
        <w:rPr>
          <w:rFonts w:asciiTheme="minorHAnsi" w:hAnsiTheme="minorHAnsi"/>
          <w:sz w:val="18"/>
          <w:szCs w:val="18"/>
          <w:lang w:val="en"/>
        </w:rPr>
        <w:t>s</w:t>
      </w:r>
      <w:r w:rsidR="00503597" w:rsidRPr="00503597">
        <w:rPr>
          <w:rFonts w:asciiTheme="minorHAnsi" w:hAnsiTheme="minorHAnsi"/>
          <w:sz w:val="18"/>
          <w:szCs w:val="18"/>
          <w:lang w:val="en"/>
        </w:rPr>
        <w:t xml:space="preserve"> will be responsible for </w:t>
      </w:r>
      <w:r>
        <w:rPr>
          <w:rFonts w:asciiTheme="minorHAnsi" w:hAnsiTheme="minorHAnsi"/>
          <w:sz w:val="18"/>
          <w:szCs w:val="18"/>
          <w:lang w:val="en"/>
        </w:rPr>
        <w:t xml:space="preserve">reading the assigned papers prior to class. </w:t>
      </w:r>
      <w:r w:rsidRPr="00503597">
        <w:rPr>
          <w:rFonts w:asciiTheme="minorHAnsi" w:hAnsiTheme="minorHAnsi"/>
          <w:sz w:val="18"/>
          <w:szCs w:val="18"/>
          <w:lang w:val="en"/>
        </w:rPr>
        <w:t>The format of the paper discussion will be a</w:t>
      </w:r>
      <w:r>
        <w:rPr>
          <w:rFonts w:asciiTheme="minorHAnsi" w:hAnsiTheme="minorHAnsi"/>
          <w:sz w:val="18"/>
          <w:szCs w:val="18"/>
          <w:lang w:val="en"/>
        </w:rPr>
        <w:t xml:space="preserve"> brief</w:t>
      </w:r>
      <w:r w:rsidRPr="00503597">
        <w:rPr>
          <w:rFonts w:asciiTheme="minorHAnsi" w:hAnsiTheme="minorHAnsi"/>
          <w:sz w:val="18"/>
          <w:szCs w:val="18"/>
          <w:lang w:val="en"/>
        </w:rPr>
        <w:t xml:space="preserve"> introduction of the key background and underlying questio</w:t>
      </w:r>
      <w:r>
        <w:rPr>
          <w:rFonts w:asciiTheme="minorHAnsi" w:hAnsiTheme="minorHAnsi"/>
          <w:sz w:val="18"/>
          <w:szCs w:val="18"/>
          <w:lang w:val="en"/>
        </w:rPr>
        <w:t>n(s)</w:t>
      </w:r>
      <w:r w:rsidRPr="00503597">
        <w:rPr>
          <w:rFonts w:asciiTheme="minorHAnsi" w:hAnsiTheme="minorHAnsi"/>
          <w:sz w:val="18"/>
          <w:szCs w:val="18"/>
          <w:lang w:val="en"/>
        </w:rPr>
        <w:t xml:space="preserve"> followed by an in-depth analysis of the paper by all members of the class. </w:t>
      </w:r>
      <w:r>
        <w:rPr>
          <w:rFonts w:asciiTheme="minorHAnsi" w:hAnsiTheme="minorHAnsi"/>
          <w:sz w:val="18"/>
          <w:szCs w:val="18"/>
          <w:lang w:val="en"/>
        </w:rPr>
        <w:t xml:space="preserve">Each student should be </w:t>
      </w:r>
      <w:r w:rsidR="00503597" w:rsidRPr="00503597">
        <w:rPr>
          <w:rFonts w:asciiTheme="minorHAnsi" w:hAnsiTheme="minorHAnsi"/>
          <w:sz w:val="18"/>
          <w:szCs w:val="18"/>
          <w:lang w:val="en"/>
        </w:rPr>
        <w:t>prepar</w:t>
      </w:r>
      <w:r>
        <w:rPr>
          <w:rFonts w:asciiTheme="minorHAnsi" w:hAnsiTheme="minorHAnsi"/>
          <w:sz w:val="18"/>
          <w:szCs w:val="18"/>
          <w:lang w:val="en"/>
        </w:rPr>
        <w:t>ed to present the brief background if called upon. This background should include:</w:t>
      </w:r>
    </w:p>
    <w:p w14:paraId="20B1A880" w14:textId="77777777" w:rsidR="00B7020E" w:rsidRDefault="00B7020E" w:rsidP="00503597">
      <w:pPr>
        <w:pStyle w:val="NormalWeb"/>
        <w:shd w:val="clear" w:color="auto" w:fill="FFFFFF"/>
        <w:jc w:val="both"/>
        <w:rPr>
          <w:rFonts w:asciiTheme="minorHAnsi" w:hAnsiTheme="minorHAnsi"/>
          <w:sz w:val="18"/>
          <w:szCs w:val="18"/>
          <w:lang w:val="en"/>
        </w:rPr>
      </w:pPr>
    </w:p>
    <w:p w14:paraId="298A35EA" w14:textId="77777777" w:rsidR="00B7020E" w:rsidRDefault="00B7020E" w:rsidP="00B7020E">
      <w:pPr>
        <w:pStyle w:val="NormalWeb"/>
        <w:numPr>
          <w:ilvl w:val="0"/>
          <w:numId w:val="8"/>
        </w:numPr>
        <w:shd w:val="clear" w:color="auto" w:fill="FFFFFF"/>
        <w:jc w:val="both"/>
        <w:rPr>
          <w:rFonts w:asciiTheme="minorHAnsi" w:hAnsiTheme="minorHAnsi"/>
          <w:sz w:val="18"/>
          <w:szCs w:val="18"/>
          <w:lang w:val="en"/>
        </w:rPr>
      </w:pPr>
      <w:r>
        <w:rPr>
          <w:rFonts w:asciiTheme="minorHAnsi" w:hAnsiTheme="minorHAnsi"/>
          <w:sz w:val="18"/>
          <w:szCs w:val="18"/>
          <w:lang w:val="en"/>
        </w:rPr>
        <w:t xml:space="preserve">What question did the study set out to address?  </w:t>
      </w:r>
    </w:p>
    <w:p w14:paraId="475273E5" w14:textId="77777777" w:rsidR="00B7020E" w:rsidRDefault="00B7020E" w:rsidP="00B7020E">
      <w:pPr>
        <w:pStyle w:val="NormalWeb"/>
        <w:numPr>
          <w:ilvl w:val="0"/>
          <w:numId w:val="8"/>
        </w:numPr>
        <w:shd w:val="clear" w:color="auto" w:fill="FFFFFF"/>
        <w:jc w:val="both"/>
        <w:rPr>
          <w:rFonts w:asciiTheme="minorHAnsi" w:hAnsiTheme="minorHAnsi"/>
          <w:sz w:val="18"/>
          <w:szCs w:val="18"/>
          <w:lang w:val="en"/>
        </w:rPr>
      </w:pPr>
      <w:r>
        <w:rPr>
          <w:rFonts w:asciiTheme="minorHAnsi" w:hAnsiTheme="minorHAnsi"/>
          <w:sz w:val="18"/>
          <w:szCs w:val="18"/>
          <w:lang w:val="en"/>
        </w:rPr>
        <w:t xml:space="preserve">What is the significance of the question to the field? </w:t>
      </w:r>
    </w:p>
    <w:p w14:paraId="43B33C24" w14:textId="629044DD" w:rsidR="00B7020E" w:rsidRDefault="00B7020E" w:rsidP="00B7020E">
      <w:pPr>
        <w:pStyle w:val="NormalWeb"/>
        <w:numPr>
          <w:ilvl w:val="0"/>
          <w:numId w:val="8"/>
        </w:numPr>
        <w:shd w:val="clear" w:color="auto" w:fill="FFFFFF"/>
        <w:jc w:val="both"/>
        <w:rPr>
          <w:rFonts w:asciiTheme="minorHAnsi" w:hAnsiTheme="minorHAnsi"/>
          <w:sz w:val="18"/>
          <w:szCs w:val="18"/>
          <w:lang w:val="en"/>
        </w:rPr>
      </w:pPr>
      <w:r>
        <w:rPr>
          <w:rFonts w:asciiTheme="minorHAnsi" w:hAnsiTheme="minorHAnsi"/>
          <w:sz w:val="18"/>
          <w:szCs w:val="18"/>
          <w:lang w:val="en"/>
        </w:rPr>
        <w:t>What was the overall approach used to address the question?</w:t>
      </w:r>
    </w:p>
    <w:p w14:paraId="63727D68" w14:textId="77777777" w:rsidR="00B7020E" w:rsidRDefault="00B7020E" w:rsidP="00503597">
      <w:pPr>
        <w:pStyle w:val="NormalWeb"/>
        <w:shd w:val="clear" w:color="auto" w:fill="FFFFFF"/>
        <w:jc w:val="both"/>
        <w:rPr>
          <w:rFonts w:asciiTheme="minorHAnsi" w:hAnsiTheme="minorHAnsi"/>
          <w:sz w:val="18"/>
          <w:szCs w:val="18"/>
          <w:lang w:val="en"/>
        </w:rPr>
      </w:pPr>
    </w:p>
    <w:p w14:paraId="12A9DD99" w14:textId="66BC0361" w:rsidR="00503597" w:rsidRPr="00503597" w:rsidRDefault="00B7020E" w:rsidP="00503597">
      <w:pPr>
        <w:pStyle w:val="NormalWeb"/>
        <w:shd w:val="clear" w:color="auto" w:fill="FFFFFF"/>
        <w:jc w:val="both"/>
        <w:rPr>
          <w:rFonts w:asciiTheme="minorHAnsi" w:hAnsiTheme="minorHAnsi"/>
          <w:sz w:val="18"/>
          <w:szCs w:val="18"/>
          <w:lang w:val="en"/>
        </w:rPr>
      </w:pPr>
      <w:r>
        <w:rPr>
          <w:rFonts w:asciiTheme="minorHAnsi" w:hAnsiTheme="minorHAnsi"/>
          <w:sz w:val="18"/>
          <w:szCs w:val="18"/>
          <w:lang w:val="en"/>
        </w:rPr>
        <w:t xml:space="preserve">In addition, the students should be able to explain each figure of the assigned paper if called upon during the discussion. </w:t>
      </w:r>
      <w:r w:rsidR="00503597" w:rsidRPr="00503597">
        <w:rPr>
          <w:rFonts w:asciiTheme="minorHAnsi" w:hAnsiTheme="minorHAnsi"/>
          <w:sz w:val="18"/>
          <w:szCs w:val="18"/>
          <w:lang w:val="en"/>
        </w:rPr>
        <w:t xml:space="preserve">Students will be graded based on their introductory presentation and active participation in the </w:t>
      </w:r>
      <w:r>
        <w:rPr>
          <w:rFonts w:asciiTheme="minorHAnsi" w:hAnsiTheme="minorHAnsi"/>
          <w:sz w:val="18"/>
          <w:szCs w:val="18"/>
          <w:lang w:val="en"/>
        </w:rPr>
        <w:t>figure</w:t>
      </w:r>
      <w:r w:rsidR="00503597" w:rsidRPr="00503597">
        <w:rPr>
          <w:rFonts w:asciiTheme="minorHAnsi" w:hAnsiTheme="minorHAnsi"/>
          <w:sz w:val="18"/>
          <w:szCs w:val="18"/>
          <w:lang w:val="en"/>
        </w:rPr>
        <w:t xml:space="preserve"> discussions.</w:t>
      </w:r>
    </w:p>
    <w:p w14:paraId="3D087479" w14:textId="77777777" w:rsidR="006456A8" w:rsidRDefault="006456A8" w:rsidP="006456A8">
      <w:pPr>
        <w:spacing w:after="0"/>
        <w:rPr>
          <w:bCs/>
        </w:rPr>
      </w:pPr>
    </w:p>
    <w:p w14:paraId="36791013" w14:textId="00B439AA" w:rsidR="00503597" w:rsidRPr="008F4B8B" w:rsidRDefault="0CF374B3" w:rsidP="006456A8">
      <w:pPr>
        <w:spacing w:after="0"/>
        <w:rPr>
          <w:b/>
          <w:bCs/>
          <w:u w:val="single"/>
        </w:rPr>
      </w:pPr>
      <w:r w:rsidRPr="0CF374B3">
        <w:rPr>
          <w:b/>
          <w:bCs/>
          <w:u w:val="single"/>
        </w:rPr>
        <w:t>Project (40% divided equally over two presentations)</w:t>
      </w:r>
    </w:p>
    <w:p w14:paraId="5D6A7E05" w14:textId="2DFCE1F0" w:rsidR="00503597" w:rsidRPr="00EA4D3A" w:rsidRDefault="00503597" w:rsidP="00503597">
      <w:pPr>
        <w:jc w:val="both"/>
        <w:rPr>
          <w:bCs/>
        </w:rPr>
      </w:pPr>
      <w:r w:rsidRPr="008F4B8B">
        <w:rPr>
          <w:bCs/>
        </w:rPr>
        <w:t>The students will be assigned to a group of 3-4 students. As a group, the students will develop a plan to translate a product based upon a gene and/or cell therapy technology from the basic preclinical phase into a phase I clinical trial. The group will be required to prepare two (2) presentations. The first presentation will focus on assessing the basic science around the technology, the adequacy of the pre-clinical testing as it relates to safety and efficacy prior to entering a human clinical trial and critically evaluating approaches to manufacturing the product appropriate for use in humans. The second presentation will focus on the regulatory and ethical aspects to translating the technology into the clinic. This will include proposing a clinical trial strategy for a first-in-human study with a critical evaluation of the pitfalls and challenges associated with the proposed strategy.</w:t>
      </w:r>
      <w:r w:rsidR="003B532B">
        <w:rPr>
          <w:bCs/>
        </w:rPr>
        <w:t xml:space="preserve">  </w:t>
      </w:r>
    </w:p>
    <w:p w14:paraId="79F85259" w14:textId="264BD6EB" w:rsidR="00503597" w:rsidRDefault="00503597" w:rsidP="004F758B">
      <w:pPr>
        <w:pStyle w:val="Heading2"/>
      </w:pPr>
      <w:r>
        <w:t>Course</w:t>
      </w:r>
      <w:r w:rsidRPr="002A7AE3">
        <w:t xml:space="preserve"> Policies:</w:t>
      </w:r>
    </w:p>
    <w:p w14:paraId="065D5C5F" w14:textId="486BBFBE" w:rsidR="0028231F" w:rsidRPr="00F638E6" w:rsidRDefault="0028231F" w:rsidP="00F91236">
      <w:pPr>
        <w:spacing w:after="0"/>
        <w:rPr>
          <w:b/>
          <w:szCs w:val="18"/>
        </w:rPr>
      </w:pPr>
      <w:r w:rsidRPr="00F638E6">
        <w:rPr>
          <w:b/>
          <w:szCs w:val="18"/>
        </w:rPr>
        <w:t xml:space="preserve">Academic </w:t>
      </w:r>
      <w:r w:rsidR="00F638E6">
        <w:rPr>
          <w:b/>
          <w:szCs w:val="18"/>
        </w:rPr>
        <w:t>Integrity:</w:t>
      </w:r>
    </w:p>
    <w:p w14:paraId="46AD4C41" w14:textId="1E3E83DB" w:rsidR="0028231F" w:rsidRDefault="0028231F" w:rsidP="00F91236">
      <w:pPr>
        <w:jc w:val="both"/>
        <w:rPr>
          <w:szCs w:val="18"/>
        </w:rPr>
      </w:pPr>
      <w:r w:rsidRPr="0028231F">
        <w:rPr>
          <w:szCs w:val="18"/>
        </w:rPr>
        <w:t xml:space="preserve">As a student at The University of Pennsylvania, you are required to uphold the </w:t>
      </w:r>
      <w:hyperlink r:id="rId13" w:history="1">
        <w:r w:rsidRPr="00DD1A18">
          <w:rPr>
            <w:szCs w:val="18"/>
          </w:rPr>
          <w:t>Code of Academic Integrity</w:t>
        </w:r>
      </w:hyperlink>
      <w:r w:rsidRPr="0028231F">
        <w:rPr>
          <w:szCs w:val="18"/>
        </w:rPr>
        <w:t>. Specifically, this means that</w:t>
      </w:r>
      <w:r w:rsidRPr="00DD1A18">
        <w:rPr>
          <w:szCs w:val="18"/>
        </w:rPr>
        <w:t xml:space="preserve"> materials that you submit either online or in person should be independent works created by you that uphold all tenets of academic integrity (</w:t>
      </w:r>
      <w:proofErr w:type="gramStart"/>
      <w:r w:rsidRPr="00DD1A18">
        <w:rPr>
          <w:szCs w:val="18"/>
        </w:rPr>
        <w:t>i.e.</w:t>
      </w:r>
      <w:proofErr w:type="gramEnd"/>
      <w:r w:rsidRPr="00DD1A18">
        <w:rPr>
          <w:szCs w:val="18"/>
        </w:rPr>
        <w:t xml:space="preserve"> do not cheat, fabricate, or plagiarize, amongst others). We encourage you to reach out to the course directo</w:t>
      </w:r>
      <w:r w:rsidRPr="00F638E6">
        <w:rPr>
          <w:szCs w:val="18"/>
        </w:rPr>
        <w:t xml:space="preserve">r or coordinator if you are not clear on what potential violations are. </w:t>
      </w:r>
    </w:p>
    <w:p w14:paraId="6DDBB27A" w14:textId="77777777" w:rsidR="0028231F" w:rsidRPr="00494E7C" w:rsidRDefault="0028231F" w:rsidP="00F91236">
      <w:pPr>
        <w:spacing w:after="0"/>
        <w:ind w:left="1440" w:hanging="1440"/>
        <w:jc w:val="both"/>
        <w:rPr>
          <w:b/>
          <w:szCs w:val="18"/>
        </w:rPr>
      </w:pPr>
      <w:r w:rsidRPr="00494E7C">
        <w:rPr>
          <w:b/>
          <w:szCs w:val="18"/>
        </w:rPr>
        <w:t>Canvas:</w:t>
      </w:r>
      <w:r w:rsidRPr="00494E7C">
        <w:rPr>
          <w:b/>
          <w:szCs w:val="18"/>
        </w:rPr>
        <w:tab/>
      </w:r>
    </w:p>
    <w:p w14:paraId="205AE4F7" w14:textId="4C3289FC" w:rsidR="0028231F" w:rsidRDefault="0028231F" w:rsidP="00F91236">
      <w:pPr>
        <w:spacing w:after="0"/>
        <w:jc w:val="both"/>
        <w:rPr>
          <w:szCs w:val="30"/>
        </w:rPr>
      </w:pPr>
      <w:r w:rsidRPr="00050F96">
        <w:rPr>
          <w:szCs w:val="18"/>
        </w:rPr>
        <w:t xml:space="preserve">All course materials (ppts, announcements, lecture recordings) and assignments will be posted on Canvas. </w:t>
      </w:r>
      <w:r w:rsidR="004F758B" w:rsidRPr="00EA4D3A">
        <w:rPr>
          <w:szCs w:val="30"/>
        </w:rPr>
        <w:t>We recommend that you choose</w:t>
      </w:r>
      <w:r w:rsidR="004F758B">
        <w:rPr>
          <w:szCs w:val="30"/>
        </w:rPr>
        <w:t xml:space="preserve"> the “Notify me right away”</w:t>
      </w:r>
      <w:r w:rsidR="004F758B" w:rsidRPr="00EA4D3A">
        <w:rPr>
          <w:szCs w:val="30"/>
        </w:rPr>
        <w:t xml:space="preserve"> option for your most frequently checked email address in t</w:t>
      </w:r>
      <w:r w:rsidR="004F758B">
        <w:rPr>
          <w:szCs w:val="30"/>
        </w:rPr>
        <w:t xml:space="preserve">he “Announcements” area of the “Notification Preferences” page: </w:t>
      </w:r>
      <w:hyperlink r:id="rId14" w:history="1">
        <w:r w:rsidR="004F758B" w:rsidRPr="00EA4D3A">
          <w:rPr>
            <w:color w:val="0000FF"/>
            <w:szCs w:val="30"/>
            <w:u w:val="single" w:color="0000FF"/>
          </w:rPr>
          <w:t>https://canvas.upenn.edu/profile/communication</w:t>
        </w:r>
      </w:hyperlink>
      <w:r w:rsidR="004F758B">
        <w:rPr>
          <w:szCs w:val="30"/>
        </w:rPr>
        <w:t>.</w:t>
      </w:r>
    </w:p>
    <w:p w14:paraId="42DED353" w14:textId="77777777" w:rsidR="006456A8" w:rsidRDefault="006456A8" w:rsidP="00F91236">
      <w:pPr>
        <w:spacing w:after="0"/>
        <w:ind w:left="1080" w:hanging="1080"/>
        <w:jc w:val="both"/>
        <w:rPr>
          <w:szCs w:val="18"/>
        </w:rPr>
      </w:pPr>
    </w:p>
    <w:p w14:paraId="31BDA1C3" w14:textId="77777777" w:rsidR="00C85AD3" w:rsidRPr="00407954" w:rsidRDefault="00C85AD3" w:rsidP="00F91236">
      <w:pPr>
        <w:spacing w:after="0"/>
        <w:ind w:left="1080" w:hanging="1080"/>
        <w:jc w:val="both"/>
        <w:rPr>
          <w:rFonts w:asciiTheme="majorHAnsi" w:hAnsiTheme="majorHAnsi"/>
          <w:b/>
          <w:szCs w:val="18"/>
        </w:rPr>
      </w:pPr>
      <w:r w:rsidRPr="00407954">
        <w:rPr>
          <w:rFonts w:asciiTheme="majorHAnsi" w:hAnsiTheme="majorHAnsi"/>
          <w:b/>
          <w:szCs w:val="18"/>
        </w:rPr>
        <w:t>Course Evaluations:</w:t>
      </w:r>
      <w:r w:rsidRPr="00407954">
        <w:rPr>
          <w:rFonts w:asciiTheme="majorHAnsi" w:hAnsiTheme="majorHAnsi"/>
          <w:b/>
          <w:szCs w:val="18"/>
        </w:rPr>
        <w:tab/>
      </w:r>
    </w:p>
    <w:p w14:paraId="52F39346" w14:textId="60704045" w:rsidR="00C85AD3" w:rsidRDefault="5E6029F6" w:rsidP="0CF374B3">
      <w:pPr>
        <w:spacing w:after="0"/>
        <w:jc w:val="both"/>
        <w:rPr>
          <w:rFonts w:asciiTheme="majorHAnsi" w:hAnsiTheme="majorHAnsi"/>
        </w:rPr>
      </w:pPr>
      <w:r w:rsidRPr="5E6029F6">
        <w:rPr>
          <w:rFonts w:asciiTheme="majorHAnsi" w:hAnsiTheme="majorHAnsi"/>
        </w:rPr>
        <w:t xml:space="preserve">Course evaluations are completed via Blue at the end of the semester. These are a required part of course participation. Students can access evaluation forms with their </w:t>
      </w:r>
      <w:proofErr w:type="spellStart"/>
      <w:r w:rsidRPr="5E6029F6">
        <w:rPr>
          <w:rFonts w:asciiTheme="majorHAnsi" w:hAnsiTheme="majorHAnsi"/>
        </w:rPr>
        <w:t>PennKey</w:t>
      </w:r>
      <w:proofErr w:type="spellEnd"/>
      <w:r w:rsidRPr="5E6029F6">
        <w:rPr>
          <w:rFonts w:asciiTheme="majorHAnsi" w:hAnsiTheme="majorHAnsi"/>
        </w:rPr>
        <w:t xml:space="preserve"> and password and will also receive emails when forms are available.</w:t>
      </w:r>
    </w:p>
    <w:p w14:paraId="795E00A6" w14:textId="77777777" w:rsidR="006456A8" w:rsidRDefault="006456A8" w:rsidP="00F91236">
      <w:pPr>
        <w:spacing w:after="0"/>
        <w:jc w:val="both"/>
        <w:rPr>
          <w:rFonts w:asciiTheme="majorHAnsi" w:hAnsiTheme="majorHAnsi"/>
          <w:szCs w:val="18"/>
        </w:rPr>
      </w:pPr>
    </w:p>
    <w:p w14:paraId="73228C1C" w14:textId="7D7973C5" w:rsidR="007C0D98" w:rsidRPr="00BF432D" w:rsidRDefault="007C0D98" w:rsidP="007C0D98">
      <w:pPr>
        <w:spacing w:after="0"/>
        <w:jc w:val="both"/>
        <w:rPr>
          <w:rFonts w:asciiTheme="majorHAnsi" w:eastAsiaTheme="majorEastAsia" w:hAnsiTheme="majorHAnsi" w:cstheme="majorBidi"/>
          <w:b/>
          <w:bCs/>
          <w:color w:val="262626" w:themeColor="text1" w:themeTint="D9"/>
          <w:szCs w:val="18"/>
        </w:rPr>
      </w:pPr>
      <w:r w:rsidRPr="00BF432D">
        <w:rPr>
          <w:rFonts w:asciiTheme="majorHAnsi" w:eastAsiaTheme="majorEastAsia" w:hAnsiTheme="majorHAnsi" w:cstheme="majorBidi"/>
          <w:b/>
          <w:bCs/>
          <w:color w:val="262626" w:themeColor="text1" w:themeTint="D9"/>
          <w:szCs w:val="18"/>
        </w:rPr>
        <w:t>Weingarten Center</w:t>
      </w:r>
      <w:r>
        <w:rPr>
          <w:rFonts w:asciiTheme="majorHAnsi" w:eastAsiaTheme="majorEastAsia" w:hAnsiTheme="majorHAnsi" w:cstheme="majorBidi"/>
          <w:b/>
          <w:bCs/>
          <w:color w:val="262626" w:themeColor="text1" w:themeTint="D9"/>
          <w:szCs w:val="18"/>
        </w:rPr>
        <w:t>:</w:t>
      </w:r>
    </w:p>
    <w:p w14:paraId="0F661160" w14:textId="2194DF40" w:rsidR="007C0D98" w:rsidRPr="00BF432D" w:rsidRDefault="007C0D98" w:rsidP="007C0D98">
      <w:pPr>
        <w:spacing w:after="0"/>
        <w:jc w:val="both"/>
        <w:rPr>
          <w:rFonts w:asciiTheme="majorHAnsi" w:eastAsiaTheme="majorEastAsia" w:hAnsiTheme="majorHAnsi" w:cstheme="majorBidi"/>
          <w:color w:val="262626" w:themeColor="text1" w:themeTint="D9"/>
          <w:szCs w:val="18"/>
        </w:rPr>
      </w:pPr>
      <w:r w:rsidRPr="00BF432D">
        <w:rPr>
          <w:rFonts w:asciiTheme="majorHAnsi" w:eastAsiaTheme="majorEastAsia" w:hAnsiTheme="majorHAnsi" w:cstheme="majorBidi"/>
          <w:color w:val="262626" w:themeColor="text1" w:themeTint="D9"/>
          <w:szCs w:val="18"/>
        </w:rPr>
        <w:t xml:space="preserve">The Weingarten Center offers a variety of resources to support all Penn students in reaching their academic goals. All services are free and confidential. To contact the Weingarten Center, call 215-573-9235. The office </w:t>
      </w:r>
      <w:proofErr w:type="gramStart"/>
      <w:r w:rsidRPr="00BF432D">
        <w:rPr>
          <w:rFonts w:asciiTheme="majorHAnsi" w:eastAsiaTheme="majorEastAsia" w:hAnsiTheme="majorHAnsi" w:cstheme="majorBidi"/>
          <w:color w:val="262626" w:themeColor="text1" w:themeTint="D9"/>
          <w:szCs w:val="18"/>
        </w:rPr>
        <w:t>is located in</w:t>
      </w:r>
      <w:proofErr w:type="gramEnd"/>
      <w:r w:rsidRPr="00BF432D">
        <w:rPr>
          <w:rFonts w:asciiTheme="majorHAnsi" w:eastAsiaTheme="majorEastAsia" w:hAnsiTheme="majorHAnsi" w:cstheme="majorBidi"/>
          <w:color w:val="262626" w:themeColor="text1" w:themeTint="D9"/>
          <w:szCs w:val="18"/>
        </w:rPr>
        <w:t xml:space="preserve"> Hamilton Village</w:t>
      </w:r>
      <w:r>
        <w:rPr>
          <w:rFonts w:asciiTheme="majorHAnsi" w:eastAsiaTheme="majorEastAsia" w:hAnsiTheme="majorHAnsi" w:cstheme="majorBidi"/>
          <w:color w:val="262626" w:themeColor="text1" w:themeTint="D9"/>
          <w:szCs w:val="18"/>
        </w:rPr>
        <w:t xml:space="preserve"> </w:t>
      </w:r>
      <w:r w:rsidRPr="00BF432D">
        <w:rPr>
          <w:rFonts w:asciiTheme="majorHAnsi" w:eastAsiaTheme="majorEastAsia" w:hAnsiTheme="majorHAnsi" w:cstheme="majorBidi"/>
          <w:color w:val="262626" w:themeColor="text1" w:themeTint="D9"/>
          <w:szCs w:val="18"/>
        </w:rPr>
        <w:t>at</w:t>
      </w:r>
      <w:r>
        <w:rPr>
          <w:rFonts w:asciiTheme="majorHAnsi" w:eastAsiaTheme="majorEastAsia" w:hAnsiTheme="majorHAnsi" w:cstheme="majorBidi"/>
          <w:color w:val="262626" w:themeColor="text1" w:themeTint="D9"/>
          <w:szCs w:val="18"/>
        </w:rPr>
        <w:t xml:space="preserve"> </w:t>
      </w:r>
      <w:r w:rsidRPr="00BF432D">
        <w:rPr>
          <w:rFonts w:asciiTheme="majorHAnsi" w:eastAsiaTheme="majorEastAsia" w:hAnsiTheme="majorHAnsi" w:cstheme="majorBidi"/>
          <w:color w:val="262626" w:themeColor="text1" w:themeTint="D9"/>
          <w:szCs w:val="18"/>
        </w:rPr>
        <w:t>220 S. 40th Street, Suite 260.</w:t>
      </w:r>
      <w:r>
        <w:rPr>
          <w:rFonts w:asciiTheme="majorHAnsi" w:eastAsiaTheme="majorEastAsia" w:hAnsiTheme="majorHAnsi" w:cstheme="majorBidi"/>
          <w:color w:val="262626" w:themeColor="text1" w:themeTint="D9"/>
          <w:szCs w:val="18"/>
        </w:rPr>
        <w:br/>
      </w:r>
    </w:p>
    <w:p w14:paraId="59B54573" w14:textId="6D80B3AA" w:rsidR="007C0D98" w:rsidRPr="00BF432D" w:rsidRDefault="007C0D98" w:rsidP="007C0D98">
      <w:pPr>
        <w:spacing w:after="0"/>
        <w:jc w:val="both"/>
        <w:rPr>
          <w:rFonts w:asciiTheme="majorHAnsi" w:eastAsiaTheme="majorEastAsia" w:hAnsiTheme="majorHAnsi" w:cstheme="majorBidi"/>
          <w:b/>
          <w:bCs/>
          <w:color w:val="262626" w:themeColor="text1" w:themeTint="D9"/>
          <w:szCs w:val="18"/>
        </w:rPr>
      </w:pPr>
      <w:r w:rsidRPr="00BF432D">
        <w:rPr>
          <w:rFonts w:asciiTheme="majorHAnsi" w:eastAsiaTheme="majorEastAsia" w:hAnsiTheme="majorHAnsi" w:cstheme="majorBidi"/>
          <w:b/>
          <w:bCs/>
          <w:color w:val="262626" w:themeColor="text1" w:themeTint="D9"/>
          <w:szCs w:val="18"/>
        </w:rPr>
        <w:t>Academic Support</w:t>
      </w:r>
      <w:r>
        <w:rPr>
          <w:rFonts w:asciiTheme="majorHAnsi" w:eastAsiaTheme="majorEastAsia" w:hAnsiTheme="majorHAnsi" w:cstheme="majorBidi"/>
          <w:b/>
          <w:bCs/>
          <w:color w:val="262626" w:themeColor="text1" w:themeTint="D9"/>
          <w:szCs w:val="18"/>
        </w:rPr>
        <w:t>:</w:t>
      </w:r>
    </w:p>
    <w:p w14:paraId="1A3621C0" w14:textId="67456D58" w:rsidR="007C0D98" w:rsidRPr="00BF432D" w:rsidRDefault="007C0D98" w:rsidP="007C0D98">
      <w:pPr>
        <w:spacing w:after="0"/>
        <w:jc w:val="both"/>
        <w:rPr>
          <w:rFonts w:asciiTheme="majorHAnsi" w:eastAsiaTheme="majorEastAsia" w:hAnsiTheme="majorHAnsi" w:cstheme="majorBidi"/>
          <w:color w:val="262626" w:themeColor="text1" w:themeTint="D9"/>
          <w:szCs w:val="18"/>
        </w:rPr>
      </w:pPr>
      <w:r w:rsidRPr="00BF432D">
        <w:rPr>
          <w:rFonts w:asciiTheme="majorHAnsi" w:eastAsiaTheme="majorEastAsia" w:hAnsiTheme="majorHAnsi" w:cstheme="majorBidi"/>
          <w:color w:val="262626" w:themeColor="text1" w:themeTint="D9"/>
          <w:szCs w:val="18"/>
        </w:rPr>
        <w:t>Learning consultations and learning strategies workshops support students in developing more efficient and effective study skills and learning strategies. Learning specialists work with students to address time and project management, academic reading and writing, note-taking, problem-solving, exam preparation, test-taking, self-regulation, and flexibility.</w:t>
      </w:r>
      <w:r>
        <w:rPr>
          <w:rFonts w:asciiTheme="majorHAnsi" w:eastAsiaTheme="majorEastAsia" w:hAnsiTheme="majorHAnsi" w:cstheme="majorBidi"/>
          <w:color w:val="262626" w:themeColor="text1" w:themeTint="D9"/>
          <w:szCs w:val="18"/>
        </w:rPr>
        <w:br/>
      </w:r>
    </w:p>
    <w:p w14:paraId="29B9757A" w14:textId="04D288AE" w:rsidR="007C0D98" w:rsidRPr="00BF432D" w:rsidRDefault="007C0D98" w:rsidP="007C0D98">
      <w:pPr>
        <w:spacing w:after="0"/>
        <w:jc w:val="both"/>
        <w:rPr>
          <w:rFonts w:asciiTheme="majorHAnsi" w:eastAsiaTheme="majorEastAsia" w:hAnsiTheme="majorHAnsi" w:cstheme="majorBidi"/>
          <w:color w:val="262626" w:themeColor="text1" w:themeTint="D9"/>
          <w:szCs w:val="18"/>
        </w:rPr>
      </w:pPr>
      <w:r>
        <w:rPr>
          <w:rFonts w:asciiTheme="majorHAnsi" w:eastAsiaTheme="majorEastAsia" w:hAnsiTheme="majorHAnsi" w:cstheme="majorBidi"/>
          <w:color w:val="262626" w:themeColor="text1" w:themeTint="D9"/>
          <w:szCs w:val="18"/>
        </w:rPr>
        <w:br/>
      </w:r>
    </w:p>
    <w:p w14:paraId="4ADCA209" w14:textId="43947F36" w:rsidR="007C0D98" w:rsidRPr="00BF432D" w:rsidRDefault="007C0D98" w:rsidP="007C0D98">
      <w:pPr>
        <w:spacing w:after="0"/>
        <w:jc w:val="both"/>
        <w:rPr>
          <w:rFonts w:asciiTheme="majorHAnsi" w:eastAsiaTheme="majorEastAsia" w:hAnsiTheme="majorHAnsi" w:cstheme="majorBidi"/>
          <w:b/>
          <w:bCs/>
          <w:color w:val="262626" w:themeColor="text1" w:themeTint="D9"/>
          <w:szCs w:val="18"/>
        </w:rPr>
      </w:pPr>
      <w:r w:rsidRPr="00BF432D">
        <w:rPr>
          <w:rFonts w:asciiTheme="majorHAnsi" w:eastAsiaTheme="majorEastAsia" w:hAnsiTheme="majorHAnsi" w:cstheme="majorBidi"/>
          <w:b/>
          <w:bCs/>
          <w:color w:val="262626" w:themeColor="text1" w:themeTint="D9"/>
          <w:szCs w:val="18"/>
        </w:rPr>
        <w:lastRenderedPageBreak/>
        <w:t>Disability Services</w:t>
      </w:r>
      <w:r>
        <w:rPr>
          <w:rFonts w:asciiTheme="majorHAnsi" w:eastAsiaTheme="majorEastAsia" w:hAnsiTheme="majorHAnsi" w:cstheme="majorBidi"/>
          <w:b/>
          <w:bCs/>
          <w:color w:val="262626" w:themeColor="text1" w:themeTint="D9"/>
          <w:szCs w:val="18"/>
        </w:rPr>
        <w:t>:</w:t>
      </w:r>
    </w:p>
    <w:p w14:paraId="0D410F82" w14:textId="77777777" w:rsidR="007C0D98" w:rsidRPr="00BF432D" w:rsidRDefault="007C0D98" w:rsidP="007C0D98">
      <w:pPr>
        <w:spacing w:after="0"/>
        <w:jc w:val="both"/>
        <w:rPr>
          <w:rFonts w:asciiTheme="majorHAnsi" w:eastAsiaTheme="majorEastAsia" w:hAnsiTheme="majorHAnsi" w:cstheme="majorBidi"/>
          <w:color w:val="262626" w:themeColor="text1" w:themeTint="D9"/>
          <w:szCs w:val="18"/>
        </w:rPr>
      </w:pPr>
      <w:r w:rsidRPr="00BF432D">
        <w:rPr>
          <w:rFonts w:asciiTheme="majorHAnsi" w:eastAsiaTheme="majorEastAsia" w:hAnsiTheme="majorHAnsi" w:cstheme="majorBidi"/>
          <w:color w:val="262626" w:themeColor="text1" w:themeTint="D9"/>
          <w:szCs w:val="18"/>
        </w:rPr>
        <w:t>The University of Pennsylvania provides reasonable accommodations to students with disabilities who have self-identified and received approval from Disability Services. Students can contact Disability Services and make appointments to discuss and/or request accommodations by calling 215-573-9235.</w:t>
      </w:r>
    </w:p>
    <w:p w14:paraId="37097D19" w14:textId="27DD6731" w:rsidR="000378C3" w:rsidRDefault="00A52DBD">
      <w:pPr>
        <w:pStyle w:val="Heading1"/>
      </w:pPr>
      <w:r>
        <w:t xml:space="preserve">Tentative </w:t>
      </w:r>
      <w:r w:rsidR="004344B7">
        <w:t>Course Schedule</w:t>
      </w:r>
    </w:p>
    <w:tbl>
      <w:tblPr>
        <w:tblStyle w:val="SyllabusTable-withBorders"/>
        <w:tblW w:w="4996" w:type="pct"/>
        <w:tblLayout w:type="fixed"/>
        <w:tblLook w:val="04A0" w:firstRow="1" w:lastRow="0" w:firstColumn="1" w:lastColumn="0" w:noHBand="0" w:noVBand="1"/>
        <w:tblDescription w:val="Course schedule"/>
      </w:tblPr>
      <w:tblGrid>
        <w:gridCol w:w="1169"/>
        <w:gridCol w:w="6939"/>
        <w:gridCol w:w="1618"/>
      </w:tblGrid>
      <w:tr w:rsidR="00AF2A9B" w14:paraId="01BCF272" w14:textId="77777777" w:rsidTr="0A9C5F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 w:type="pct"/>
          </w:tcPr>
          <w:p w14:paraId="0210F20A" w14:textId="77777777" w:rsidR="009B63E5" w:rsidRDefault="009B63E5">
            <w:r>
              <w:t>Week</w:t>
            </w:r>
          </w:p>
        </w:tc>
        <w:tc>
          <w:tcPr>
            <w:tcW w:w="3567" w:type="pct"/>
          </w:tcPr>
          <w:p w14:paraId="5F2227D2" w14:textId="77777777" w:rsidR="009B63E5" w:rsidRDefault="009B63E5">
            <w:pPr>
              <w:cnfStyle w:val="100000000000" w:firstRow="1" w:lastRow="0" w:firstColumn="0" w:lastColumn="0" w:oddVBand="0" w:evenVBand="0" w:oddHBand="0" w:evenHBand="0" w:firstRowFirstColumn="0" w:firstRowLastColumn="0" w:lastRowFirstColumn="0" w:lastRowLastColumn="0"/>
            </w:pPr>
            <w:r>
              <w:t>Topic</w:t>
            </w:r>
          </w:p>
        </w:tc>
        <w:tc>
          <w:tcPr>
            <w:tcW w:w="832" w:type="pct"/>
          </w:tcPr>
          <w:p w14:paraId="1454513B" w14:textId="50E7BC0D" w:rsidR="009B63E5" w:rsidRDefault="009B63E5" w:rsidP="001F0FBA">
            <w:pPr>
              <w:cnfStyle w:val="100000000000" w:firstRow="1" w:lastRow="0" w:firstColumn="0" w:lastColumn="0" w:oddVBand="0" w:evenVBand="0" w:oddHBand="0" w:evenHBand="0" w:firstRowFirstColumn="0" w:firstRowLastColumn="0" w:lastRowFirstColumn="0" w:lastRowLastColumn="0"/>
            </w:pPr>
            <w:r>
              <w:t>Lecturer</w:t>
            </w:r>
          </w:p>
        </w:tc>
      </w:tr>
      <w:tr w:rsidR="00AF2A9B" w14:paraId="02027BFB"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48ADA0C2" w14:textId="2E338BA5" w:rsidR="009B63E5" w:rsidRDefault="009B63E5" w:rsidP="009804E2">
            <w:r>
              <w:t xml:space="preserve">Jan </w:t>
            </w:r>
            <w:r w:rsidR="00CC2C9D">
              <w:t>1</w:t>
            </w:r>
            <w:r w:rsidR="00572CB8">
              <w:t>8</w:t>
            </w:r>
          </w:p>
        </w:tc>
        <w:tc>
          <w:tcPr>
            <w:tcW w:w="3567" w:type="pct"/>
          </w:tcPr>
          <w:p w14:paraId="02638C3B" w14:textId="2587BD10" w:rsidR="009B63E5" w:rsidRPr="00A2365D" w:rsidRDefault="009B63E5" w:rsidP="00A2365D">
            <w:pPr>
              <w:cnfStyle w:val="000000000000" w:firstRow="0" w:lastRow="0" w:firstColumn="0" w:lastColumn="0" w:oddVBand="0" w:evenVBand="0" w:oddHBand="0" w:evenHBand="0" w:firstRowFirstColumn="0" w:firstRowLastColumn="0" w:lastRowFirstColumn="0" w:lastRowLastColumn="0"/>
            </w:pPr>
            <w:r w:rsidRPr="00A2365D">
              <w:rPr>
                <w:rFonts w:cs="Times New Roman"/>
              </w:rPr>
              <w:t>Overview of Gene and Cell Therapy Field &amp; Orientation to Course</w:t>
            </w:r>
            <w:r w:rsidRPr="00A2365D">
              <w:t xml:space="preserve"> </w:t>
            </w:r>
          </w:p>
          <w:p w14:paraId="47FD05CD" w14:textId="66EBCFFB" w:rsidR="009B63E5" w:rsidRPr="00A2365D" w:rsidRDefault="6346D0A5" w:rsidP="009804E2">
            <w:pPr>
              <w:cnfStyle w:val="000000000000" w:firstRow="0" w:lastRow="0" w:firstColumn="0" w:lastColumn="0" w:oddVBand="0" w:evenVBand="0" w:oddHBand="0" w:evenHBand="0" w:firstRowFirstColumn="0" w:firstRowLastColumn="0" w:lastRowFirstColumn="0" w:lastRowLastColumn="0"/>
            </w:pPr>
            <w:r w:rsidRPr="6346D0A5">
              <w:rPr>
                <w:rFonts w:cs="Times New Roman"/>
              </w:rPr>
              <w:t xml:space="preserve">Paper discussions (Instructor </w:t>
            </w:r>
            <w:proofErr w:type="gramStart"/>
            <w:r w:rsidRPr="6346D0A5">
              <w:rPr>
                <w:rFonts w:cs="Times New Roman"/>
              </w:rPr>
              <w:t>Lead)Horowitz</w:t>
            </w:r>
            <w:proofErr w:type="gramEnd"/>
            <w:r w:rsidRPr="6346D0A5">
              <w:rPr>
                <w:rFonts w:cs="Times New Roman"/>
              </w:rPr>
              <w:t xml:space="preserve"> 1990 HSCT and T cells</w:t>
            </w:r>
          </w:p>
        </w:tc>
        <w:tc>
          <w:tcPr>
            <w:tcW w:w="832" w:type="pct"/>
          </w:tcPr>
          <w:p w14:paraId="7BC565AA" w14:textId="77777777" w:rsidR="009B63E5" w:rsidRDefault="009B63E5">
            <w:pPr>
              <w:cnfStyle w:val="000000000000" w:firstRow="0" w:lastRow="0" w:firstColumn="0" w:lastColumn="0" w:oddVBand="0" w:evenVBand="0" w:oddHBand="0" w:evenHBand="0" w:firstRowFirstColumn="0" w:firstRowLastColumn="0" w:lastRowFirstColumn="0" w:lastRowLastColumn="0"/>
            </w:pPr>
            <w:r>
              <w:t>Michael Milone</w:t>
            </w:r>
          </w:p>
          <w:p w14:paraId="7C8E8147" w14:textId="70590C03" w:rsidR="009B63E5" w:rsidRDefault="009B63E5">
            <w:pPr>
              <w:cnfStyle w:val="000000000000" w:firstRow="0" w:lastRow="0" w:firstColumn="0" w:lastColumn="0" w:oddVBand="0" w:evenVBand="0" w:oddHBand="0" w:evenHBand="0" w:firstRowFirstColumn="0" w:firstRowLastColumn="0" w:lastRowFirstColumn="0" w:lastRowLastColumn="0"/>
            </w:pPr>
            <w:r>
              <w:t>Elizabeth Hexner</w:t>
            </w:r>
          </w:p>
        </w:tc>
      </w:tr>
      <w:tr w:rsidR="00AF2A9B" w:rsidRPr="00B8063F" w14:paraId="52F84943"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28C608CD" w14:textId="0A81091E" w:rsidR="009B63E5" w:rsidRPr="00B8063F" w:rsidRDefault="009B63E5">
            <w:r w:rsidRPr="00B8063F">
              <w:t xml:space="preserve">Jan </w:t>
            </w:r>
            <w:r w:rsidR="00CC2C9D">
              <w:t>2</w:t>
            </w:r>
            <w:r w:rsidR="00572CB8">
              <w:t>5</w:t>
            </w:r>
          </w:p>
        </w:tc>
        <w:tc>
          <w:tcPr>
            <w:tcW w:w="3567" w:type="pct"/>
          </w:tcPr>
          <w:p w14:paraId="65B83EAF" w14:textId="77777777" w:rsidR="00D35959" w:rsidRDefault="00D3595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Gene Therapy Vectors</w:t>
            </w:r>
          </w:p>
          <w:p w14:paraId="504C7238" w14:textId="68818B55" w:rsidR="009B63E5" w:rsidRPr="00AF2434" w:rsidRDefault="009B63E5" w:rsidP="00AF2434">
            <w:pPr>
              <w:cnfStyle w:val="000000000000" w:firstRow="0" w:lastRow="0" w:firstColumn="0" w:lastColumn="0" w:oddVBand="0" w:evenVBand="0" w:oddHBand="0" w:evenHBand="0" w:firstRowFirstColumn="0" w:firstRowLastColumn="0" w:lastRowFirstColumn="0" w:lastRowLastColumn="0"/>
              <w:rPr>
                <w:rFonts w:cs="Times New Roman"/>
              </w:rPr>
            </w:pPr>
            <w:r w:rsidRPr="00B8063F">
              <w:rPr>
                <w:rFonts w:cs="Times New Roman"/>
              </w:rPr>
              <w:t>Paper Discussion</w:t>
            </w:r>
            <w:r w:rsidR="00AF2434">
              <w:rPr>
                <w:rFonts w:cs="Times New Roman"/>
              </w:rPr>
              <w:t>s (Student Lead)</w:t>
            </w:r>
          </w:p>
        </w:tc>
        <w:tc>
          <w:tcPr>
            <w:tcW w:w="832" w:type="pct"/>
          </w:tcPr>
          <w:p w14:paraId="562F169E" w14:textId="294F5A45" w:rsidR="009B63E5" w:rsidRPr="00B8063F" w:rsidRDefault="00D35959" w:rsidP="00A2365D">
            <w:pPr>
              <w:spacing w:after="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Michael Milone</w:t>
            </w:r>
          </w:p>
          <w:p w14:paraId="2428F97F" w14:textId="648179EB" w:rsidR="009B63E5" w:rsidRPr="00B8063F" w:rsidRDefault="009B63E5">
            <w:pPr>
              <w:cnfStyle w:val="000000000000" w:firstRow="0" w:lastRow="0" w:firstColumn="0" w:lastColumn="0" w:oddVBand="0" w:evenVBand="0" w:oddHBand="0" w:evenHBand="0" w:firstRowFirstColumn="0" w:firstRowLastColumn="0" w:lastRowFirstColumn="0" w:lastRowLastColumn="0"/>
            </w:pPr>
          </w:p>
        </w:tc>
      </w:tr>
      <w:tr w:rsidR="114BBC55" w14:paraId="0466D21C" w14:textId="77777777" w:rsidTr="00BE4B6E">
        <w:tc>
          <w:tcPr>
            <w:cnfStyle w:val="001000000000" w:firstRow="0" w:lastRow="0" w:firstColumn="1" w:lastColumn="0" w:oddVBand="0" w:evenVBand="0" w:oddHBand="0" w:evenHBand="0" w:firstRowFirstColumn="0" w:firstRowLastColumn="0" w:lastRowFirstColumn="0" w:lastRowLastColumn="0"/>
            <w:tcW w:w="601" w:type="pct"/>
          </w:tcPr>
          <w:p w14:paraId="6A4FCF58" w14:textId="39C69803" w:rsidR="114BBC55" w:rsidRDefault="114BBC55">
            <w:r>
              <w:t xml:space="preserve">Feb </w:t>
            </w:r>
            <w:r w:rsidR="00572CB8">
              <w:t>01</w:t>
            </w:r>
          </w:p>
        </w:tc>
        <w:tc>
          <w:tcPr>
            <w:tcW w:w="3567" w:type="pct"/>
          </w:tcPr>
          <w:p w14:paraId="21BC57D5" w14:textId="2D269763" w:rsidR="114BBC55" w:rsidRPr="00BE4B6E" w:rsidRDefault="114BBC55" w:rsidP="114BBC55">
            <w:pPr>
              <w:cnfStyle w:val="000000000000" w:firstRow="0" w:lastRow="0" w:firstColumn="0" w:lastColumn="0" w:oddVBand="0" w:evenVBand="0" w:oddHBand="0" w:evenHBand="0" w:firstRowFirstColumn="0" w:firstRowLastColumn="0" w:lastRowFirstColumn="0" w:lastRowLastColumn="0"/>
              <w:rPr>
                <w:rFonts w:cs="Times New Roman"/>
              </w:rPr>
            </w:pPr>
            <w:r w:rsidRPr="00BE4B6E">
              <w:rPr>
                <w:rFonts w:cs="Times New Roman"/>
              </w:rPr>
              <w:t>Gene Editing</w:t>
            </w:r>
          </w:p>
          <w:p w14:paraId="6E553C44" w14:textId="69ACE7DD" w:rsidR="114BBC55" w:rsidRPr="00BE4B6E" w:rsidRDefault="114BBC55" w:rsidP="114BBC55">
            <w:pPr>
              <w:cnfStyle w:val="000000000000" w:firstRow="0" w:lastRow="0" w:firstColumn="0" w:lastColumn="0" w:oddVBand="0" w:evenVBand="0" w:oddHBand="0" w:evenHBand="0" w:firstRowFirstColumn="0" w:firstRowLastColumn="0" w:lastRowFirstColumn="0" w:lastRowLastColumn="0"/>
            </w:pPr>
            <w:r w:rsidRPr="00BE4B6E">
              <w:t>Paper Discussions (Student Lead) NYCE T cell paper</w:t>
            </w:r>
          </w:p>
        </w:tc>
        <w:tc>
          <w:tcPr>
            <w:tcW w:w="832" w:type="pct"/>
          </w:tcPr>
          <w:p w14:paraId="3C5E9926" w14:textId="439F1423" w:rsidR="114BBC55" w:rsidRDefault="0007662A">
            <w:pPr>
              <w:cnfStyle w:val="000000000000" w:firstRow="0" w:lastRow="0" w:firstColumn="0" w:lastColumn="0" w:oddVBand="0" w:evenVBand="0" w:oddHBand="0" w:evenHBand="0" w:firstRowFirstColumn="0" w:firstRowLastColumn="0" w:lastRowFirstColumn="0" w:lastRowLastColumn="0"/>
            </w:pPr>
            <w:r>
              <w:t>Michael Milone</w:t>
            </w:r>
          </w:p>
        </w:tc>
      </w:tr>
      <w:tr w:rsidR="00AF2A9B" w14:paraId="2526F19E"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63F63E92" w14:textId="12C26F5A" w:rsidR="009B63E5" w:rsidRDefault="114BBC55" w:rsidP="009804E2">
            <w:r>
              <w:t xml:space="preserve">Feb </w:t>
            </w:r>
            <w:r w:rsidR="00CC2C9D">
              <w:t>0</w:t>
            </w:r>
            <w:r w:rsidR="00572CB8">
              <w:t>8</w:t>
            </w:r>
          </w:p>
        </w:tc>
        <w:tc>
          <w:tcPr>
            <w:tcW w:w="3567" w:type="pct"/>
          </w:tcPr>
          <w:p w14:paraId="29F01FDF" w14:textId="77777777" w:rsidR="00D35959" w:rsidRPr="00B8063F" w:rsidRDefault="00D35959" w:rsidP="00D35959">
            <w:pPr>
              <w:cnfStyle w:val="000000000000" w:firstRow="0" w:lastRow="0" w:firstColumn="0" w:lastColumn="0" w:oddVBand="0" w:evenVBand="0" w:oddHBand="0" w:evenHBand="0" w:firstRowFirstColumn="0" w:firstRowLastColumn="0" w:lastRowFirstColumn="0" w:lastRowLastColumn="0"/>
              <w:rPr>
                <w:rFonts w:cs="Times New Roman"/>
              </w:rPr>
            </w:pPr>
            <w:r w:rsidRPr="00B8063F">
              <w:rPr>
                <w:rFonts w:cs="Times New Roman"/>
              </w:rPr>
              <w:t>Stem Cells &amp; Tissue Engineering</w:t>
            </w:r>
          </w:p>
          <w:p w14:paraId="78CB4A64" w14:textId="509433A9" w:rsidR="009B63E5" w:rsidRDefault="009B63E5" w:rsidP="00AF2434">
            <w:pPr>
              <w:cnfStyle w:val="000000000000" w:firstRow="0" w:lastRow="0" w:firstColumn="0" w:lastColumn="0" w:oddVBand="0" w:evenVBand="0" w:oddHBand="0" w:evenHBand="0" w:firstRowFirstColumn="0" w:firstRowLastColumn="0" w:lastRowFirstColumn="0" w:lastRowLastColumn="0"/>
            </w:pPr>
            <w:r w:rsidRPr="00B8063F">
              <w:t>Paper Discussion</w:t>
            </w:r>
            <w:r w:rsidR="00AF2434">
              <w:t>s (Student Lead)</w:t>
            </w:r>
          </w:p>
        </w:tc>
        <w:tc>
          <w:tcPr>
            <w:tcW w:w="832" w:type="pct"/>
          </w:tcPr>
          <w:p w14:paraId="3E1E22B9" w14:textId="2F7EE6F6" w:rsidR="00D35959" w:rsidRDefault="00D35959">
            <w:pPr>
              <w:cnfStyle w:val="000000000000" w:firstRow="0" w:lastRow="0" w:firstColumn="0" w:lastColumn="0" w:oddVBand="0" w:evenVBand="0" w:oddHBand="0" w:evenHBand="0" w:firstRowFirstColumn="0" w:firstRowLastColumn="0" w:lastRowFirstColumn="0" w:lastRowLastColumn="0"/>
            </w:pPr>
            <w:r>
              <w:t>Elizabeth Hexner Roddy O’Connor</w:t>
            </w:r>
          </w:p>
        </w:tc>
      </w:tr>
      <w:tr w:rsidR="00AF2A9B" w14:paraId="65EDF3EE"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17402512" w14:textId="48369561" w:rsidR="009B63E5" w:rsidRDefault="009B63E5" w:rsidP="009804E2">
            <w:r>
              <w:t>Feb 1</w:t>
            </w:r>
            <w:r w:rsidR="00572CB8">
              <w:t>5</w:t>
            </w:r>
          </w:p>
        </w:tc>
        <w:tc>
          <w:tcPr>
            <w:tcW w:w="3567" w:type="pct"/>
          </w:tcPr>
          <w:p w14:paraId="4F4C8A55" w14:textId="498A6678" w:rsidR="009B63E5" w:rsidRDefault="6346D0A5" w:rsidP="00AD1A6F">
            <w:pPr>
              <w:spacing w:after="120" w:line="259" w:lineRule="auto"/>
              <w:cnfStyle w:val="000000000000" w:firstRow="0" w:lastRow="0" w:firstColumn="0" w:lastColumn="0" w:oddVBand="0" w:evenVBand="0" w:oddHBand="0" w:evenHBand="0" w:firstRowFirstColumn="0" w:firstRowLastColumn="0" w:lastRowFirstColumn="0" w:lastRowLastColumn="0"/>
              <w:rPr>
                <w:b/>
                <w:bCs/>
              </w:rPr>
            </w:pPr>
            <w:r w:rsidRPr="6346D0A5">
              <w:rPr>
                <w:b/>
                <w:bCs/>
              </w:rPr>
              <w:t xml:space="preserve"> MAGE-A3 TCR toxicity</w:t>
            </w:r>
          </w:p>
          <w:p w14:paraId="001DB359" w14:textId="438F6727" w:rsidR="009B63E5" w:rsidRDefault="6346D0A5">
            <w:pPr>
              <w:cnfStyle w:val="000000000000" w:firstRow="0" w:lastRow="0" w:firstColumn="0" w:lastColumn="0" w:oddVBand="0" w:evenVBand="0" w:oddHBand="0" w:evenHBand="0" w:firstRowFirstColumn="0" w:firstRowLastColumn="0" w:lastRowFirstColumn="0" w:lastRowLastColumn="0"/>
            </w:pPr>
            <w:r>
              <w:t>Correlative Sciences and its Importance to Successful Clinical Trials – Tet2 story</w:t>
            </w:r>
          </w:p>
          <w:p w14:paraId="12DAD30C" w14:textId="78FFE044" w:rsidR="009B63E5" w:rsidRPr="00B8063F" w:rsidRDefault="009B63E5">
            <w:pPr>
              <w:cnfStyle w:val="000000000000" w:firstRow="0" w:lastRow="0" w:firstColumn="0" w:lastColumn="0" w:oddVBand="0" w:evenVBand="0" w:oddHBand="0" w:evenHBand="0" w:firstRowFirstColumn="0" w:firstRowLastColumn="0" w:lastRowFirstColumn="0" w:lastRowLastColumn="0"/>
            </w:pPr>
            <w:r>
              <w:t>Paper Discussion</w:t>
            </w:r>
            <w:r w:rsidR="00AF2434">
              <w:t>s (Student Lead)</w:t>
            </w:r>
          </w:p>
        </w:tc>
        <w:tc>
          <w:tcPr>
            <w:tcW w:w="832" w:type="pct"/>
          </w:tcPr>
          <w:p w14:paraId="5FCD66CF" w14:textId="63363284" w:rsidR="009B63E5" w:rsidRDefault="0A9C5F40" w:rsidP="00AD1A6F">
            <w:pPr>
              <w:spacing w:after="120" w:line="259" w:lineRule="auto"/>
              <w:cnfStyle w:val="000000000000" w:firstRow="0" w:lastRow="0" w:firstColumn="0" w:lastColumn="0" w:oddVBand="0" w:evenVBand="0" w:oddHBand="0" w:evenHBand="0" w:firstRowFirstColumn="0" w:firstRowLastColumn="0" w:lastRowFirstColumn="0" w:lastRowLastColumn="0"/>
            </w:pPr>
            <w:r>
              <w:t>Michael Milone</w:t>
            </w:r>
          </w:p>
        </w:tc>
      </w:tr>
      <w:tr w:rsidR="00AF2A9B" w14:paraId="7492AA48"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691A6747" w14:textId="710D813A" w:rsidR="009B63E5" w:rsidRDefault="009B63E5" w:rsidP="00430E04">
            <w:r>
              <w:t xml:space="preserve">Feb </w:t>
            </w:r>
            <w:r w:rsidR="003B532B">
              <w:t>2</w:t>
            </w:r>
            <w:r w:rsidR="00572CB8">
              <w:t>2</w:t>
            </w:r>
          </w:p>
        </w:tc>
        <w:tc>
          <w:tcPr>
            <w:tcW w:w="3567" w:type="pct"/>
          </w:tcPr>
          <w:p w14:paraId="47396B45" w14:textId="77777777" w:rsidR="009B63E5" w:rsidRDefault="009B63E5" w:rsidP="005E041A">
            <w:pPr>
              <w:cnfStyle w:val="000000000000" w:firstRow="0" w:lastRow="0" w:firstColumn="0" w:lastColumn="0" w:oddVBand="0" w:evenVBand="0" w:oddHBand="0" w:evenHBand="0" w:firstRowFirstColumn="0" w:firstRowLastColumn="0" w:lastRowFirstColumn="0" w:lastRowLastColumn="0"/>
            </w:pPr>
            <w:r w:rsidRPr="00FA753D">
              <w:t>Pre-clinical Safety Testing of Vector-based Gene Therapies</w:t>
            </w:r>
          </w:p>
          <w:p w14:paraId="34F90196" w14:textId="7748DC95" w:rsidR="009B63E5" w:rsidRPr="00FA753D" w:rsidRDefault="009B63E5" w:rsidP="00AF2434">
            <w:pPr>
              <w:cnfStyle w:val="000000000000" w:firstRow="0" w:lastRow="0" w:firstColumn="0" w:lastColumn="0" w:oddVBand="0" w:evenVBand="0" w:oddHBand="0" w:evenHBand="0" w:firstRowFirstColumn="0" w:firstRowLastColumn="0" w:lastRowFirstColumn="0" w:lastRowLastColumn="0"/>
            </w:pPr>
            <w:r>
              <w:t>Paper Discussion</w:t>
            </w:r>
            <w:r w:rsidR="00AF2434">
              <w:t>s (Student Lead)</w:t>
            </w:r>
          </w:p>
        </w:tc>
        <w:tc>
          <w:tcPr>
            <w:tcW w:w="832" w:type="pct"/>
          </w:tcPr>
          <w:p w14:paraId="5D788BA9" w14:textId="54873B5B" w:rsidR="009B63E5" w:rsidRDefault="005E33FE" w:rsidP="005E041A">
            <w:pPr>
              <w:cnfStyle w:val="000000000000" w:firstRow="0" w:lastRow="0" w:firstColumn="0" w:lastColumn="0" w:oddVBand="0" w:evenVBand="0" w:oddHBand="0" w:evenHBand="0" w:firstRowFirstColumn="0" w:firstRowLastColumn="0" w:lastRowFirstColumn="0" w:lastRowLastColumn="0"/>
            </w:pPr>
            <w:r>
              <w:t>TBD</w:t>
            </w:r>
          </w:p>
        </w:tc>
      </w:tr>
      <w:tr w:rsidR="00AF2A9B" w14:paraId="07661FCF"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5F9F46EA" w14:textId="2E2389DA" w:rsidR="009B63E5" w:rsidRDefault="00CC2C9D" w:rsidP="00430E04">
            <w:r>
              <w:t>Mar 0</w:t>
            </w:r>
            <w:r w:rsidR="00572CB8">
              <w:t>1</w:t>
            </w:r>
          </w:p>
        </w:tc>
        <w:tc>
          <w:tcPr>
            <w:tcW w:w="3567" w:type="pct"/>
          </w:tcPr>
          <w:p w14:paraId="2F021AFA" w14:textId="77777777" w:rsidR="009B63E5" w:rsidRPr="00FA753D" w:rsidRDefault="009B63E5" w:rsidP="005E041A">
            <w:pPr>
              <w:cnfStyle w:val="000000000000" w:firstRow="0" w:lastRow="0" w:firstColumn="0" w:lastColumn="0" w:oddVBand="0" w:evenVBand="0" w:oddHBand="0" w:evenHBand="0" w:firstRowFirstColumn="0" w:firstRowLastColumn="0" w:lastRowFirstColumn="0" w:lastRowLastColumn="0"/>
            </w:pPr>
            <w:r w:rsidRPr="00FA753D">
              <w:t>Manufacturing of Complex Cell-based Therapeutics</w:t>
            </w:r>
          </w:p>
          <w:p w14:paraId="51216007" w14:textId="77777777" w:rsidR="009B63E5" w:rsidRDefault="00946869" w:rsidP="00946869">
            <w:pPr>
              <w:cnfStyle w:val="000000000000" w:firstRow="0" w:lastRow="0" w:firstColumn="0" w:lastColumn="0" w:oddVBand="0" w:evenVBand="0" w:oddHBand="0" w:evenHBand="0" w:firstRowFirstColumn="0" w:firstRowLastColumn="0" w:lastRowFirstColumn="0" w:lastRowLastColumn="0"/>
            </w:pPr>
            <w:r>
              <w:t>Apheresis/</w:t>
            </w:r>
            <w:r w:rsidR="009B63E5" w:rsidRPr="00FA753D">
              <w:t>Tour of South Tower cGMP Facility</w:t>
            </w:r>
          </w:p>
          <w:p w14:paraId="7C707671" w14:textId="2E73E030" w:rsidR="00946869" w:rsidRPr="00946869" w:rsidRDefault="00946869" w:rsidP="00946869">
            <w:pPr>
              <w:cnfStyle w:val="000000000000" w:firstRow="0" w:lastRow="0" w:firstColumn="0" w:lastColumn="0" w:oddVBand="0" w:evenVBand="0" w:oddHBand="0" w:evenHBand="0" w:firstRowFirstColumn="0" w:firstRowLastColumn="0" w:lastRowFirstColumn="0" w:lastRowLastColumn="0"/>
              <w:rPr>
                <w:b/>
                <w:bCs/>
              </w:rPr>
            </w:pPr>
          </w:p>
        </w:tc>
        <w:tc>
          <w:tcPr>
            <w:tcW w:w="832" w:type="pct"/>
          </w:tcPr>
          <w:p w14:paraId="680CC8D9" w14:textId="05B443A4" w:rsidR="009B63E5" w:rsidRDefault="009B63E5">
            <w:pPr>
              <w:cnfStyle w:val="000000000000" w:firstRow="0" w:lastRow="0" w:firstColumn="0" w:lastColumn="0" w:oddVBand="0" w:evenVBand="0" w:oddHBand="0" w:evenHBand="0" w:firstRowFirstColumn="0" w:firstRowLastColumn="0" w:lastRowFirstColumn="0" w:lastRowLastColumn="0"/>
            </w:pPr>
            <w:r>
              <w:t>Bruce Levine</w:t>
            </w:r>
          </w:p>
          <w:p w14:paraId="7346404D" w14:textId="7BD0FF72" w:rsidR="009B63E5" w:rsidRDefault="00E11AB6">
            <w:pPr>
              <w:cnfStyle w:val="000000000000" w:firstRow="0" w:lastRow="0" w:firstColumn="0" w:lastColumn="0" w:oddVBand="0" w:evenVBand="0" w:oddHBand="0" w:evenHBand="0" w:firstRowFirstColumn="0" w:firstRowLastColumn="0" w:lastRowFirstColumn="0" w:lastRowLastColumn="0"/>
            </w:pPr>
            <w:r>
              <w:t xml:space="preserve">Andrew </w:t>
            </w:r>
            <w:proofErr w:type="spellStart"/>
            <w:r>
              <w:t>Fesnak</w:t>
            </w:r>
            <w:proofErr w:type="spellEnd"/>
          </w:p>
          <w:p w14:paraId="1BE4B240" w14:textId="1AC95A63" w:rsidR="005E33FE" w:rsidRDefault="005E33FE">
            <w:pPr>
              <w:cnfStyle w:val="000000000000" w:firstRow="0" w:lastRow="0" w:firstColumn="0" w:lastColumn="0" w:oddVBand="0" w:evenVBand="0" w:oddHBand="0" w:evenHBand="0" w:firstRowFirstColumn="0" w:firstRowLastColumn="0" w:lastRowFirstColumn="0" w:lastRowLastColumn="0"/>
            </w:pPr>
            <w:r>
              <w:t>Han Van Der loo</w:t>
            </w:r>
          </w:p>
          <w:p w14:paraId="292EE724" w14:textId="3C444348" w:rsidR="009B63E5" w:rsidRDefault="009B63E5">
            <w:pPr>
              <w:cnfStyle w:val="000000000000" w:firstRow="0" w:lastRow="0" w:firstColumn="0" w:lastColumn="0" w:oddVBand="0" w:evenVBand="0" w:oddHBand="0" w:evenHBand="0" w:firstRowFirstColumn="0" w:firstRowLastColumn="0" w:lastRowFirstColumn="0" w:lastRowLastColumn="0"/>
            </w:pPr>
          </w:p>
        </w:tc>
      </w:tr>
      <w:tr w:rsidR="00AF2A9B" w14:paraId="47093E73"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0E86348D" w14:textId="246C4CBC" w:rsidR="009B63E5" w:rsidRDefault="009B63E5" w:rsidP="00913DAC">
            <w:r>
              <w:t xml:space="preserve">Mar </w:t>
            </w:r>
            <w:r w:rsidR="00CC2C9D">
              <w:t>0</w:t>
            </w:r>
            <w:r w:rsidR="00572CB8">
              <w:t>8</w:t>
            </w:r>
          </w:p>
        </w:tc>
        <w:tc>
          <w:tcPr>
            <w:tcW w:w="3567" w:type="pct"/>
          </w:tcPr>
          <w:p w14:paraId="4D9AACA2" w14:textId="103A47C2" w:rsidR="009B63E5" w:rsidRPr="003B532B" w:rsidRDefault="003B532B">
            <w:pPr>
              <w:cnfStyle w:val="000000000000" w:firstRow="0" w:lastRow="0" w:firstColumn="0" w:lastColumn="0" w:oddVBand="0" w:evenVBand="0" w:oddHBand="0" w:evenHBand="0" w:firstRowFirstColumn="0" w:firstRowLastColumn="0" w:lastRowFirstColumn="0" w:lastRowLastColumn="0"/>
              <w:rPr>
                <w:b/>
                <w:bCs/>
              </w:rPr>
            </w:pPr>
            <w:r w:rsidRPr="003B532B">
              <w:rPr>
                <w:b/>
                <w:bCs/>
              </w:rPr>
              <w:t>No class Spring Break</w:t>
            </w:r>
          </w:p>
        </w:tc>
        <w:tc>
          <w:tcPr>
            <w:tcW w:w="832" w:type="pct"/>
          </w:tcPr>
          <w:p w14:paraId="70F02004" w14:textId="128283EF" w:rsidR="009B63E5" w:rsidRDefault="009B63E5">
            <w:pPr>
              <w:cnfStyle w:val="000000000000" w:firstRow="0" w:lastRow="0" w:firstColumn="0" w:lastColumn="0" w:oddVBand="0" w:evenVBand="0" w:oddHBand="0" w:evenHBand="0" w:firstRowFirstColumn="0" w:firstRowLastColumn="0" w:lastRowFirstColumn="0" w:lastRowLastColumn="0"/>
            </w:pPr>
          </w:p>
        </w:tc>
      </w:tr>
      <w:tr w:rsidR="00AF2A9B" w14:paraId="01333DF8"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683E8BB9" w14:textId="69C88849" w:rsidR="009B63E5" w:rsidRDefault="009B63E5" w:rsidP="00913DAC">
            <w:r>
              <w:t xml:space="preserve">Mar </w:t>
            </w:r>
            <w:r w:rsidR="00CC2C9D">
              <w:t>1</w:t>
            </w:r>
            <w:r w:rsidR="00572CB8">
              <w:t>5</w:t>
            </w:r>
          </w:p>
        </w:tc>
        <w:tc>
          <w:tcPr>
            <w:tcW w:w="3567" w:type="pct"/>
          </w:tcPr>
          <w:p w14:paraId="42831AF6" w14:textId="0B96AB6F" w:rsidR="009B63E5" w:rsidRPr="00AB7505" w:rsidRDefault="003B532B" w:rsidP="003B532B">
            <w:pPr>
              <w:cnfStyle w:val="000000000000" w:firstRow="0" w:lastRow="0" w:firstColumn="0" w:lastColumn="0" w:oddVBand="0" w:evenVBand="0" w:oddHBand="0" w:evenHBand="0" w:firstRowFirstColumn="0" w:firstRowLastColumn="0" w:lastRowFirstColumn="0" w:lastRowLastColumn="0"/>
              <w:rPr>
                <w:b/>
              </w:rPr>
            </w:pPr>
            <w:r>
              <w:rPr>
                <w:b/>
              </w:rPr>
              <w:t xml:space="preserve">Project Presentations – Part 1 </w:t>
            </w:r>
          </w:p>
        </w:tc>
        <w:tc>
          <w:tcPr>
            <w:tcW w:w="832" w:type="pct"/>
          </w:tcPr>
          <w:p w14:paraId="48BFCD49" w14:textId="2E3B6717" w:rsidR="009B63E5" w:rsidRDefault="009B63E5">
            <w:pPr>
              <w:cnfStyle w:val="000000000000" w:firstRow="0" w:lastRow="0" w:firstColumn="0" w:lastColumn="0" w:oddVBand="0" w:evenVBand="0" w:oddHBand="0" w:evenHBand="0" w:firstRowFirstColumn="0" w:firstRowLastColumn="0" w:lastRowFirstColumn="0" w:lastRowLastColumn="0"/>
            </w:pPr>
          </w:p>
        </w:tc>
      </w:tr>
      <w:tr w:rsidR="00AF2A9B" w14:paraId="538BF586"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28620BF9" w14:textId="4D213701" w:rsidR="009B63E5" w:rsidRDefault="009B63E5" w:rsidP="00612EDC">
            <w:r>
              <w:t xml:space="preserve">Mar </w:t>
            </w:r>
            <w:r w:rsidR="003B532B">
              <w:t>2</w:t>
            </w:r>
            <w:r w:rsidR="00572CB8">
              <w:t>2</w:t>
            </w:r>
          </w:p>
        </w:tc>
        <w:tc>
          <w:tcPr>
            <w:tcW w:w="3567" w:type="pct"/>
          </w:tcPr>
          <w:p w14:paraId="51CB3BD6" w14:textId="2B0DE2CD" w:rsidR="009B63E5" w:rsidRPr="00AF2A9B" w:rsidRDefault="009B63E5" w:rsidP="003F4336">
            <w:pPr>
              <w:cnfStyle w:val="000000000000" w:firstRow="0" w:lastRow="0" w:firstColumn="0" w:lastColumn="0" w:oddVBand="0" w:evenVBand="0" w:oddHBand="0" w:evenHBand="0" w:firstRowFirstColumn="0" w:firstRowLastColumn="0" w:lastRowFirstColumn="0" w:lastRowLastColumn="0"/>
            </w:pPr>
            <w:r w:rsidRPr="00AF2A9B">
              <w:t>Patenting Gene &amp; Cell Therapies</w:t>
            </w:r>
          </w:p>
        </w:tc>
        <w:tc>
          <w:tcPr>
            <w:tcW w:w="832" w:type="pct"/>
          </w:tcPr>
          <w:p w14:paraId="37F8CB12" w14:textId="7F145CF6" w:rsidR="009B63E5" w:rsidRDefault="001712C4" w:rsidP="001712C4">
            <w:pPr>
              <w:cnfStyle w:val="000000000000" w:firstRow="0" w:lastRow="0" w:firstColumn="0" w:lastColumn="0" w:oddVBand="0" w:evenVBand="0" w:oddHBand="0" w:evenHBand="0" w:firstRowFirstColumn="0" w:firstRowLastColumn="0" w:lastRowFirstColumn="0" w:lastRowLastColumn="0"/>
            </w:pPr>
            <w:r>
              <w:t>Kathryn Doyle</w:t>
            </w:r>
            <w:r w:rsidR="00D9574B">
              <w:t>, PhD, JD</w:t>
            </w:r>
          </w:p>
          <w:p w14:paraId="0566CB25" w14:textId="435676A5" w:rsidR="001712C4" w:rsidRDefault="00D9574B" w:rsidP="001712C4">
            <w:pPr>
              <w:cnfStyle w:val="000000000000" w:firstRow="0" w:lastRow="0" w:firstColumn="0" w:lastColumn="0" w:oddVBand="0" w:evenVBand="0" w:oddHBand="0" w:evenHBand="0" w:firstRowFirstColumn="0" w:firstRowLastColumn="0" w:lastRowFirstColumn="0" w:lastRowLastColumn="0"/>
            </w:pPr>
            <w:r>
              <w:t>Saul-Ewing</w:t>
            </w:r>
          </w:p>
        </w:tc>
      </w:tr>
      <w:tr w:rsidR="003B532B" w14:paraId="55D38508"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186B560B" w14:textId="0E47FD14" w:rsidR="003B532B" w:rsidRDefault="00D9574B" w:rsidP="003B532B">
            <w:r>
              <w:t xml:space="preserve">Mar </w:t>
            </w:r>
            <w:r w:rsidR="00572CB8">
              <w:t>29</w:t>
            </w:r>
          </w:p>
        </w:tc>
        <w:tc>
          <w:tcPr>
            <w:tcW w:w="3567" w:type="pct"/>
          </w:tcPr>
          <w:p w14:paraId="0236F5A1" w14:textId="77777777" w:rsidR="003B532B" w:rsidRPr="009B63E5" w:rsidRDefault="003B532B" w:rsidP="003B532B">
            <w:pPr>
              <w:cnfStyle w:val="000000000000" w:firstRow="0" w:lastRow="0" w:firstColumn="0" w:lastColumn="0" w:oddVBand="0" w:evenVBand="0" w:oddHBand="0" w:evenHBand="0" w:firstRowFirstColumn="0" w:firstRowLastColumn="0" w:lastRowFirstColumn="0" w:lastRowLastColumn="0"/>
            </w:pPr>
            <w:r w:rsidRPr="009B63E5">
              <w:t>Overview of Regulatory Review for Gene and Cell Therapies</w:t>
            </w:r>
          </w:p>
          <w:p w14:paraId="1179CF33" w14:textId="77777777" w:rsidR="003B532B" w:rsidRPr="009B63E5" w:rsidRDefault="003B532B" w:rsidP="003B532B">
            <w:pPr>
              <w:cnfStyle w:val="000000000000" w:firstRow="0" w:lastRow="0" w:firstColumn="0" w:lastColumn="0" w:oddVBand="0" w:evenVBand="0" w:oddHBand="0" w:evenHBand="0" w:firstRowFirstColumn="0" w:firstRowLastColumn="0" w:lastRowFirstColumn="0" w:lastRowLastColumn="0"/>
            </w:pPr>
            <w:r w:rsidRPr="009B63E5">
              <w:t>FDA Guidance on Cell &amp; Gene Therapies</w:t>
            </w:r>
          </w:p>
          <w:p w14:paraId="1B050396" w14:textId="090E835E" w:rsidR="003B532B" w:rsidRPr="00177C11" w:rsidRDefault="003B532B" w:rsidP="003B532B">
            <w:pPr>
              <w:cnfStyle w:val="000000000000" w:firstRow="0" w:lastRow="0" w:firstColumn="0" w:lastColumn="0" w:oddVBand="0" w:evenVBand="0" w:oddHBand="0" w:evenHBand="0" w:firstRowFirstColumn="0" w:firstRowLastColumn="0" w:lastRowFirstColumn="0" w:lastRowLastColumn="0"/>
            </w:pPr>
            <w:r w:rsidRPr="009B63E5">
              <w:t>How-to Workshop: Writing an IND for Gene Therapy Products</w:t>
            </w:r>
          </w:p>
        </w:tc>
        <w:tc>
          <w:tcPr>
            <w:tcW w:w="832" w:type="pct"/>
          </w:tcPr>
          <w:p w14:paraId="6EF55BE6" w14:textId="0CD25B3C" w:rsidR="003B532B" w:rsidRDefault="003B532B" w:rsidP="003B532B">
            <w:pPr>
              <w:cnfStyle w:val="000000000000" w:firstRow="0" w:lastRow="0" w:firstColumn="0" w:lastColumn="0" w:oddVBand="0" w:evenVBand="0" w:oddHBand="0" w:evenHBand="0" w:firstRowFirstColumn="0" w:firstRowLastColumn="0" w:lastRowFirstColumn="0" w:lastRowLastColumn="0"/>
            </w:pPr>
            <w:r>
              <w:t xml:space="preserve">Julie </w:t>
            </w:r>
            <w:proofErr w:type="spellStart"/>
            <w:r>
              <w:t>Jadlowsky</w:t>
            </w:r>
            <w:proofErr w:type="spellEnd"/>
          </w:p>
        </w:tc>
      </w:tr>
      <w:tr w:rsidR="00BE4B6E" w14:paraId="1CA855B2" w14:textId="77777777" w:rsidTr="001D3951">
        <w:tc>
          <w:tcPr>
            <w:cnfStyle w:val="001000000000" w:firstRow="0" w:lastRow="0" w:firstColumn="1" w:lastColumn="0" w:oddVBand="0" w:evenVBand="0" w:oddHBand="0" w:evenHBand="0" w:firstRowFirstColumn="0" w:firstRowLastColumn="0" w:lastRowFirstColumn="0" w:lastRowLastColumn="0"/>
            <w:tcW w:w="601" w:type="pct"/>
          </w:tcPr>
          <w:p w14:paraId="60BF5EA1" w14:textId="7AC4A853" w:rsidR="00D9574B" w:rsidRDefault="00D9574B" w:rsidP="001D3951">
            <w:r>
              <w:t xml:space="preserve">Apr </w:t>
            </w:r>
            <w:r w:rsidR="00370D0F">
              <w:t>5</w:t>
            </w:r>
          </w:p>
        </w:tc>
        <w:tc>
          <w:tcPr>
            <w:tcW w:w="3567" w:type="pct"/>
          </w:tcPr>
          <w:p w14:paraId="289E2D71" w14:textId="77777777" w:rsidR="00D9574B" w:rsidRDefault="00D9574B" w:rsidP="001D3951">
            <w:pPr>
              <w:cnfStyle w:val="000000000000" w:firstRow="0" w:lastRow="0" w:firstColumn="0" w:lastColumn="0" w:oddVBand="0" w:evenVBand="0" w:oddHBand="0" w:evenHBand="0" w:firstRowFirstColumn="0" w:firstRowLastColumn="0" w:lastRowFirstColumn="0" w:lastRowLastColumn="0"/>
            </w:pPr>
            <w:r>
              <w:t>Ethical Considerations in Gene and Cell Therapy Clinical Trials</w:t>
            </w:r>
          </w:p>
        </w:tc>
        <w:tc>
          <w:tcPr>
            <w:tcW w:w="832" w:type="pct"/>
          </w:tcPr>
          <w:p w14:paraId="5742118E" w14:textId="77777777" w:rsidR="00D9574B" w:rsidRDefault="00D9574B" w:rsidP="001D3951">
            <w:pPr>
              <w:cnfStyle w:val="000000000000" w:firstRow="0" w:lastRow="0" w:firstColumn="0" w:lastColumn="0" w:oddVBand="0" w:evenVBand="0" w:oddHBand="0" w:evenHBand="0" w:firstRowFirstColumn="0" w:firstRowLastColumn="0" w:lastRowFirstColumn="0" w:lastRowLastColumn="0"/>
            </w:pPr>
            <w:r>
              <w:t xml:space="preserve">Megan </w:t>
            </w:r>
            <w:proofErr w:type="spellStart"/>
            <w:r>
              <w:t>Kasimatis</w:t>
            </w:r>
            <w:proofErr w:type="spellEnd"/>
            <w:r>
              <w:t xml:space="preserve"> Singleton (JHMS)</w:t>
            </w:r>
          </w:p>
        </w:tc>
      </w:tr>
      <w:tr w:rsidR="00552487" w14:paraId="42CF7E75"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313D9589" w14:textId="657A83F7" w:rsidR="00552487" w:rsidRDefault="00552487" w:rsidP="00552487">
            <w:r>
              <w:t xml:space="preserve">Apr </w:t>
            </w:r>
            <w:r w:rsidR="00CC2C9D">
              <w:t>1</w:t>
            </w:r>
            <w:r w:rsidR="00572CB8">
              <w:t>2</w:t>
            </w:r>
          </w:p>
        </w:tc>
        <w:tc>
          <w:tcPr>
            <w:tcW w:w="3567" w:type="pct"/>
          </w:tcPr>
          <w:p w14:paraId="229E6A8F" w14:textId="2FEFE9C6" w:rsidR="00552487" w:rsidRPr="00177C11" w:rsidRDefault="5E6029F6" w:rsidP="00552487">
            <w:pPr>
              <w:cnfStyle w:val="000000000000" w:firstRow="0" w:lastRow="0" w:firstColumn="0" w:lastColumn="0" w:oddVBand="0" w:evenVBand="0" w:oddHBand="0" w:evenHBand="0" w:firstRowFirstColumn="0" w:firstRowLastColumn="0" w:lastRowFirstColumn="0" w:lastRowLastColumn="0"/>
            </w:pPr>
            <w:r>
              <w:t>Translating Gene &amp; Cell Therapies into Viable Commercial Products</w:t>
            </w:r>
          </w:p>
        </w:tc>
        <w:tc>
          <w:tcPr>
            <w:tcW w:w="832" w:type="pct"/>
          </w:tcPr>
          <w:p w14:paraId="326AB5DC" w14:textId="15098CBC" w:rsidR="00552487" w:rsidRDefault="0A9C5F40" w:rsidP="00552487">
            <w:pPr>
              <w:cnfStyle w:val="000000000000" w:firstRow="0" w:lastRow="0" w:firstColumn="0" w:lastColumn="0" w:oddVBand="0" w:evenVBand="0" w:oddHBand="0" w:evenHBand="0" w:firstRowFirstColumn="0" w:firstRowLastColumn="0" w:lastRowFirstColumn="0" w:lastRowLastColumn="0"/>
            </w:pPr>
            <w:r>
              <w:t>Arun Das</w:t>
            </w:r>
          </w:p>
        </w:tc>
      </w:tr>
      <w:tr w:rsidR="00552487" w14:paraId="2E01B36F" w14:textId="77777777" w:rsidTr="0A9C5F40">
        <w:tc>
          <w:tcPr>
            <w:cnfStyle w:val="001000000000" w:firstRow="0" w:lastRow="0" w:firstColumn="1" w:lastColumn="0" w:oddVBand="0" w:evenVBand="0" w:oddHBand="0" w:evenHBand="0" w:firstRowFirstColumn="0" w:firstRowLastColumn="0" w:lastRowFirstColumn="0" w:lastRowLastColumn="0"/>
            <w:tcW w:w="601" w:type="pct"/>
          </w:tcPr>
          <w:p w14:paraId="4049B444" w14:textId="4565181E" w:rsidR="00552487" w:rsidRDefault="00552487" w:rsidP="00552487">
            <w:r>
              <w:t xml:space="preserve">Apr </w:t>
            </w:r>
            <w:r w:rsidR="00572CB8">
              <w:t>19</w:t>
            </w:r>
          </w:p>
        </w:tc>
        <w:tc>
          <w:tcPr>
            <w:tcW w:w="3567" w:type="pct"/>
          </w:tcPr>
          <w:p w14:paraId="068782D0" w14:textId="77777777" w:rsidR="00552487" w:rsidRDefault="00552487" w:rsidP="00552487">
            <w:pPr>
              <w:cnfStyle w:val="000000000000" w:firstRow="0" w:lastRow="0" w:firstColumn="0" w:lastColumn="0" w:oddVBand="0" w:evenVBand="0" w:oddHBand="0" w:evenHBand="0" w:firstRowFirstColumn="0" w:firstRowLastColumn="0" w:lastRowFirstColumn="0" w:lastRowLastColumn="0"/>
              <w:rPr>
                <w:b/>
              </w:rPr>
            </w:pPr>
            <w:r>
              <w:rPr>
                <w:b/>
              </w:rPr>
              <w:t xml:space="preserve">Final Project Presentations </w:t>
            </w:r>
          </w:p>
          <w:p w14:paraId="66957715" w14:textId="128A837B" w:rsidR="00552487" w:rsidRPr="00DE7026" w:rsidRDefault="00552487" w:rsidP="00552487">
            <w:pPr>
              <w:cnfStyle w:val="000000000000" w:firstRow="0" w:lastRow="0" w:firstColumn="0" w:lastColumn="0" w:oddVBand="0" w:evenVBand="0" w:oddHBand="0" w:evenHBand="0" w:firstRowFirstColumn="0" w:firstRowLastColumn="0" w:lastRowFirstColumn="0" w:lastRowLastColumn="0"/>
            </w:pPr>
            <w:r>
              <w:rPr>
                <w:b/>
              </w:rPr>
              <w:t>Final Class Wrap up</w:t>
            </w:r>
          </w:p>
        </w:tc>
        <w:tc>
          <w:tcPr>
            <w:tcW w:w="832" w:type="pct"/>
          </w:tcPr>
          <w:p w14:paraId="7FD51E8B" w14:textId="66E2B290" w:rsidR="00552487" w:rsidRDefault="00552487" w:rsidP="00552487">
            <w:pPr>
              <w:cnfStyle w:val="000000000000" w:firstRow="0" w:lastRow="0" w:firstColumn="0" w:lastColumn="0" w:oddVBand="0" w:evenVBand="0" w:oddHBand="0" w:evenHBand="0" w:firstRowFirstColumn="0" w:firstRowLastColumn="0" w:lastRowFirstColumn="0" w:lastRowLastColumn="0"/>
            </w:pPr>
          </w:p>
        </w:tc>
      </w:tr>
    </w:tbl>
    <w:p w14:paraId="7E927790" w14:textId="0BBB0035" w:rsidR="000378C3" w:rsidRDefault="000378C3" w:rsidP="00B7020E">
      <w:pPr>
        <w:pStyle w:val="Heading1"/>
      </w:pPr>
    </w:p>
    <w:sectPr w:rsidR="000378C3" w:rsidSect="00B7020E">
      <w:footerReference w:type="default" r:id="rId15"/>
      <w:pgSz w:w="12240" w:h="15840" w:code="1"/>
      <w:pgMar w:top="1152" w:right="1253" w:bottom="1656"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7AF4" w14:textId="77777777" w:rsidR="00E243C2" w:rsidRDefault="00E243C2">
      <w:pPr>
        <w:spacing w:after="0"/>
      </w:pPr>
      <w:r>
        <w:separator/>
      </w:r>
    </w:p>
  </w:endnote>
  <w:endnote w:type="continuationSeparator" w:id="0">
    <w:p w14:paraId="034F1D6E" w14:textId="77777777" w:rsidR="00E243C2" w:rsidRDefault="00E24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F98D" w14:textId="07037ECC" w:rsidR="000378C3" w:rsidRDefault="004344B7">
    <w:pPr>
      <w:pStyle w:val="Footer"/>
    </w:pPr>
    <w:r>
      <w:t xml:space="preserve">Page </w:t>
    </w:r>
    <w:r>
      <w:fldChar w:fldCharType="begin"/>
    </w:r>
    <w:r>
      <w:instrText xml:space="preserve"> PAGE   \* MERGEFORMAT </w:instrText>
    </w:r>
    <w:r>
      <w:fldChar w:fldCharType="separate"/>
    </w:r>
    <w:r w:rsidR="00353D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E159" w14:textId="77777777" w:rsidR="00E243C2" w:rsidRDefault="00E243C2">
      <w:pPr>
        <w:spacing w:after="0"/>
      </w:pPr>
      <w:r>
        <w:separator/>
      </w:r>
    </w:p>
  </w:footnote>
  <w:footnote w:type="continuationSeparator" w:id="0">
    <w:p w14:paraId="4FA1AD13" w14:textId="77777777" w:rsidR="00E243C2" w:rsidRDefault="00E243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24D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6E56F9"/>
    <w:multiLevelType w:val="hybridMultilevel"/>
    <w:tmpl w:val="9F668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AF5F10"/>
    <w:multiLevelType w:val="hybridMultilevel"/>
    <w:tmpl w:val="49A6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2"/>
    <w:lvlOverride w:ilvl="0">
      <w:startOverride w:val="1"/>
    </w:lvlOverride>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0D"/>
    <w:rsid w:val="00022222"/>
    <w:rsid w:val="00025689"/>
    <w:rsid w:val="00033CA8"/>
    <w:rsid w:val="000378C3"/>
    <w:rsid w:val="00050F96"/>
    <w:rsid w:val="000539C8"/>
    <w:rsid w:val="000755F4"/>
    <w:rsid w:val="0007662A"/>
    <w:rsid w:val="000977AD"/>
    <w:rsid w:val="000C2CAD"/>
    <w:rsid w:val="000F15C7"/>
    <w:rsid w:val="00106F47"/>
    <w:rsid w:val="00113769"/>
    <w:rsid w:val="001712C4"/>
    <w:rsid w:val="0017170D"/>
    <w:rsid w:val="00177C11"/>
    <w:rsid w:val="00183421"/>
    <w:rsid w:val="001939B5"/>
    <w:rsid w:val="001A3C42"/>
    <w:rsid w:val="001D6498"/>
    <w:rsid w:val="001F0FBA"/>
    <w:rsid w:val="00216030"/>
    <w:rsid w:val="00232C87"/>
    <w:rsid w:val="00243C27"/>
    <w:rsid w:val="00244365"/>
    <w:rsid w:val="0028231F"/>
    <w:rsid w:val="002A7AE3"/>
    <w:rsid w:val="002B042E"/>
    <w:rsid w:val="002D6C77"/>
    <w:rsid w:val="00300DCE"/>
    <w:rsid w:val="00305DF2"/>
    <w:rsid w:val="0031636D"/>
    <w:rsid w:val="00353DED"/>
    <w:rsid w:val="00366720"/>
    <w:rsid w:val="00370D0F"/>
    <w:rsid w:val="003B532B"/>
    <w:rsid w:val="003F39D0"/>
    <w:rsid w:val="00407954"/>
    <w:rsid w:val="0041745A"/>
    <w:rsid w:val="00430E04"/>
    <w:rsid w:val="004344B7"/>
    <w:rsid w:val="00487677"/>
    <w:rsid w:val="004922F3"/>
    <w:rsid w:val="00494E7C"/>
    <w:rsid w:val="004A0CC8"/>
    <w:rsid w:val="004D4FA4"/>
    <w:rsid w:val="004F758B"/>
    <w:rsid w:val="00503597"/>
    <w:rsid w:val="00515F8B"/>
    <w:rsid w:val="005265F3"/>
    <w:rsid w:val="005363AB"/>
    <w:rsid w:val="0055206A"/>
    <w:rsid w:val="00552487"/>
    <w:rsid w:val="00572CB8"/>
    <w:rsid w:val="005734E6"/>
    <w:rsid w:val="00582E7B"/>
    <w:rsid w:val="00597AA6"/>
    <w:rsid w:val="005A7F10"/>
    <w:rsid w:val="005B06F8"/>
    <w:rsid w:val="005C0610"/>
    <w:rsid w:val="005C0688"/>
    <w:rsid w:val="005E041A"/>
    <w:rsid w:val="005E33FE"/>
    <w:rsid w:val="005E7390"/>
    <w:rsid w:val="006012B7"/>
    <w:rsid w:val="00605301"/>
    <w:rsid w:val="00612EDC"/>
    <w:rsid w:val="006242B7"/>
    <w:rsid w:val="006456A8"/>
    <w:rsid w:val="006624C5"/>
    <w:rsid w:val="00691889"/>
    <w:rsid w:val="0069786E"/>
    <w:rsid w:val="006B18B6"/>
    <w:rsid w:val="00726499"/>
    <w:rsid w:val="0074190D"/>
    <w:rsid w:val="00747639"/>
    <w:rsid w:val="007754FF"/>
    <w:rsid w:val="00776FA1"/>
    <w:rsid w:val="0078412D"/>
    <w:rsid w:val="007A15FB"/>
    <w:rsid w:val="007C0D98"/>
    <w:rsid w:val="007C42D0"/>
    <w:rsid w:val="007C5D7E"/>
    <w:rsid w:val="007C7EC5"/>
    <w:rsid w:val="007E77D5"/>
    <w:rsid w:val="00811C76"/>
    <w:rsid w:val="00821860"/>
    <w:rsid w:val="008319AD"/>
    <w:rsid w:val="00854618"/>
    <w:rsid w:val="008A77C0"/>
    <w:rsid w:val="008A7880"/>
    <w:rsid w:val="008B0120"/>
    <w:rsid w:val="008C7D7D"/>
    <w:rsid w:val="008F273C"/>
    <w:rsid w:val="00913DAC"/>
    <w:rsid w:val="00917E90"/>
    <w:rsid w:val="00946869"/>
    <w:rsid w:val="00953907"/>
    <w:rsid w:val="00956AD1"/>
    <w:rsid w:val="00976320"/>
    <w:rsid w:val="0097635C"/>
    <w:rsid w:val="009804E2"/>
    <w:rsid w:val="00981631"/>
    <w:rsid w:val="0099474F"/>
    <w:rsid w:val="009B63E5"/>
    <w:rsid w:val="00A2365D"/>
    <w:rsid w:val="00A2565D"/>
    <w:rsid w:val="00A52DBD"/>
    <w:rsid w:val="00A56517"/>
    <w:rsid w:val="00A63F65"/>
    <w:rsid w:val="00A80353"/>
    <w:rsid w:val="00A80513"/>
    <w:rsid w:val="00A8507C"/>
    <w:rsid w:val="00AA16BB"/>
    <w:rsid w:val="00AB7505"/>
    <w:rsid w:val="00AC4250"/>
    <w:rsid w:val="00AD1A6F"/>
    <w:rsid w:val="00AF2434"/>
    <w:rsid w:val="00AF2A9B"/>
    <w:rsid w:val="00B001A5"/>
    <w:rsid w:val="00B004A0"/>
    <w:rsid w:val="00B06940"/>
    <w:rsid w:val="00B34B3F"/>
    <w:rsid w:val="00B7020E"/>
    <w:rsid w:val="00B77F2F"/>
    <w:rsid w:val="00B8063F"/>
    <w:rsid w:val="00BA7510"/>
    <w:rsid w:val="00BC06A5"/>
    <w:rsid w:val="00BD6523"/>
    <w:rsid w:val="00BE4B6E"/>
    <w:rsid w:val="00BF432D"/>
    <w:rsid w:val="00C41FBB"/>
    <w:rsid w:val="00C552B4"/>
    <w:rsid w:val="00C676E3"/>
    <w:rsid w:val="00C70D05"/>
    <w:rsid w:val="00C75671"/>
    <w:rsid w:val="00C81B10"/>
    <w:rsid w:val="00C85AD3"/>
    <w:rsid w:val="00C972CB"/>
    <w:rsid w:val="00C97A77"/>
    <w:rsid w:val="00CB54D7"/>
    <w:rsid w:val="00CC2C9D"/>
    <w:rsid w:val="00D236BE"/>
    <w:rsid w:val="00D3291F"/>
    <w:rsid w:val="00D3587D"/>
    <w:rsid w:val="00D35959"/>
    <w:rsid w:val="00D36EC3"/>
    <w:rsid w:val="00D507D9"/>
    <w:rsid w:val="00D8503A"/>
    <w:rsid w:val="00D9574B"/>
    <w:rsid w:val="00DA4F9F"/>
    <w:rsid w:val="00DB5929"/>
    <w:rsid w:val="00DC3C67"/>
    <w:rsid w:val="00DD1A18"/>
    <w:rsid w:val="00DD6619"/>
    <w:rsid w:val="00DE7026"/>
    <w:rsid w:val="00DF42D1"/>
    <w:rsid w:val="00E11AB6"/>
    <w:rsid w:val="00E243C2"/>
    <w:rsid w:val="00E24EA6"/>
    <w:rsid w:val="00E30264"/>
    <w:rsid w:val="00E326AC"/>
    <w:rsid w:val="00E34E1A"/>
    <w:rsid w:val="00E352F1"/>
    <w:rsid w:val="00E9038F"/>
    <w:rsid w:val="00EB2422"/>
    <w:rsid w:val="00EB52D9"/>
    <w:rsid w:val="00EC5B06"/>
    <w:rsid w:val="00EE474C"/>
    <w:rsid w:val="00EF0D1B"/>
    <w:rsid w:val="00F349FE"/>
    <w:rsid w:val="00F423DA"/>
    <w:rsid w:val="00F5023B"/>
    <w:rsid w:val="00F60DF7"/>
    <w:rsid w:val="00F638E6"/>
    <w:rsid w:val="00F651A4"/>
    <w:rsid w:val="00F81F9E"/>
    <w:rsid w:val="00F91236"/>
    <w:rsid w:val="00FA753D"/>
    <w:rsid w:val="0A9C5F40"/>
    <w:rsid w:val="0CF374B3"/>
    <w:rsid w:val="114BBC55"/>
    <w:rsid w:val="5E6029F6"/>
    <w:rsid w:val="6346D0A5"/>
    <w:rsid w:val="6B32BF0C"/>
    <w:rsid w:val="7F16A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81D886"/>
  <w15:docId w15:val="{77458C7E-623E-4F9B-BE20-3C6B6756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paragraph" w:styleId="Heading3">
    <w:name w:val="heading 3"/>
    <w:basedOn w:val="Normal"/>
    <w:next w:val="Normal"/>
    <w:link w:val="Heading3Char"/>
    <w:uiPriority w:val="9"/>
    <w:semiHidden/>
    <w:unhideWhenUsed/>
    <w:qFormat/>
    <w:rsid w:val="007C0D98"/>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7C0D98"/>
    <w:pPr>
      <w:keepNext/>
      <w:keepLines/>
      <w:spacing w:before="40" w:after="0"/>
      <w:outlineLvl w:val="3"/>
    </w:pPr>
    <w:rPr>
      <w:rFonts w:asciiTheme="majorHAnsi" w:eastAsiaTheme="majorEastAsia" w:hAnsiTheme="majorHAnsi" w:cstheme="majorBidi"/>
      <w:i/>
      <w:iCs/>
      <w:color w:val="B6332E"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NormalWeb">
    <w:name w:val="Normal (Web)"/>
    <w:basedOn w:val="Normal"/>
    <w:uiPriority w:val="99"/>
    <w:unhideWhenUsed/>
    <w:rsid w:val="002A7AE3"/>
    <w:pPr>
      <w:spacing w:after="0"/>
    </w:pPr>
    <w:rPr>
      <w:rFonts w:ascii="Times New Roman" w:eastAsia="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CB54D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B54D7"/>
    <w:rPr>
      <w:rFonts w:ascii="Segoe UI" w:hAnsi="Segoe UI" w:cs="Segoe UI"/>
      <w:szCs w:val="18"/>
    </w:rPr>
  </w:style>
  <w:style w:type="paragraph" w:styleId="ListParagraph">
    <w:name w:val="List Paragraph"/>
    <w:basedOn w:val="Normal"/>
    <w:uiPriority w:val="34"/>
    <w:unhideWhenUsed/>
    <w:qFormat/>
    <w:rsid w:val="0097635C"/>
    <w:pPr>
      <w:ind w:left="720"/>
      <w:contextualSpacing/>
    </w:pPr>
  </w:style>
  <w:style w:type="character" w:styleId="CommentReference">
    <w:name w:val="annotation reference"/>
    <w:basedOn w:val="DefaultParagraphFont"/>
    <w:uiPriority w:val="99"/>
    <w:semiHidden/>
    <w:unhideWhenUsed/>
    <w:rsid w:val="00EB2422"/>
    <w:rPr>
      <w:sz w:val="16"/>
      <w:szCs w:val="16"/>
    </w:rPr>
  </w:style>
  <w:style w:type="paragraph" w:styleId="CommentText">
    <w:name w:val="annotation text"/>
    <w:basedOn w:val="Normal"/>
    <w:link w:val="CommentTextChar"/>
    <w:uiPriority w:val="99"/>
    <w:semiHidden/>
    <w:unhideWhenUsed/>
    <w:rsid w:val="00EB2422"/>
    <w:rPr>
      <w:sz w:val="20"/>
    </w:rPr>
  </w:style>
  <w:style w:type="character" w:customStyle="1" w:styleId="CommentTextChar">
    <w:name w:val="Comment Text Char"/>
    <w:basedOn w:val="DefaultParagraphFont"/>
    <w:link w:val="CommentText"/>
    <w:uiPriority w:val="99"/>
    <w:semiHidden/>
    <w:rsid w:val="00EB2422"/>
    <w:rPr>
      <w:sz w:val="20"/>
    </w:rPr>
  </w:style>
  <w:style w:type="paragraph" w:styleId="CommentSubject">
    <w:name w:val="annotation subject"/>
    <w:basedOn w:val="CommentText"/>
    <w:next w:val="CommentText"/>
    <w:link w:val="CommentSubjectChar"/>
    <w:uiPriority w:val="99"/>
    <w:semiHidden/>
    <w:unhideWhenUsed/>
    <w:rsid w:val="00EB2422"/>
    <w:rPr>
      <w:b/>
      <w:bCs/>
    </w:rPr>
  </w:style>
  <w:style w:type="character" w:customStyle="1" w:styleId="CommentSubjectChar">
    <w:name w:val="Comment Subject Char"/>
    <w:basedOn w:val="CommentTextChar"/>
    <w:link w:val="CommentSubject"/>
    <w:uiPriority w:val="99"/>
    <w:semiHidden/>
    <w:rsid w:val="00EB2422"/>
    <w:rPr>
      <w:b/>
      <w:bCs/>
      <w:sz w:val="20"/>
    </w:rPr>
  </w:style>
  <w:style w:type="character" w:styleId="Hyperlink">
    <w:name w:val="Hyperlink"/>
    <w:basedOn w:val="DefaultParagraphFont"/>
    <w:uiPriority w:val="99"/>
    <w:unhideWhenUsed/>
    <w:rsid w:val="00DA4F9F"/>
    <w:rPr>
      <w:color w:val="549CCC" w:themeColor="hyperlink"/>
      <w:u w:val="single"/>
    </w:rPr>
  </w:style>
  <w:style w:type="paragraph" w:styleId="DocumentMap">
    <w:name w:val="Document Map"/>
    <w:basedOn w:val="Normal"/>
    <w:link w:val="DocumentMapChar"/>
    <w:uiPriority w:val="99"/>
    <w:semiHidden/>
    <w:unhideWhenUsed/>
    <w:rsid w:val="00407954"/>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07954"/>
    <w:rPr>
      <w:rFonts w:ascii="Times New Roman" w:hAnsi="Times New Roman" w:cs="Times New Roman"/>
      <w:sz w:val="24"/>
      <w:szCs w:val="24"/>
    </w:rPr>
  </w:style>
  <w:style w:type="paragraph" w:styleId="Revision">
    <w:name w:val="Revision"/>
    <w:hidden/>
    <w:uiPriority w:val="99"/>
    <w:semiHidden/>
    <w:rsid w:val="00407954"/>
    <w:pPr>
      <w:spacing w:after="0"/>
    </w:pPr>
  </w:style>
  <w:style w:type="character" w:styleId="FollowedHyperlink">
    <w:name w:val="FollowedHyperlink"/>
    <w:basedOn w:val="DefaultParagraphFont"/>
    <w:uiPriority w:val="99"/>
    <w:semiHidden/>
    <w:unhideWhenUsed/>
    <w:rsid w:val="00033CA8"/>
    <w:rPr>
      <w:color w:val="E17E00" w:themeColor="followedHyperlink"/>
      <w:u w:val="single"/>
    </w:rPr>
  </w:style>
  <w:style w:type="character" w:customStyle="1" w:styleId="UnresolvedMention1">
    <w:name w:val="Unresolved Mention1"/>
    <w:basedOn w:val="DefaultParagraphFont"/>
    <w:uiPriority w:val="99"/>
    <w:semiHidden/>
    <w:unhideWhenUsed/>
    <w:rsid w:val="00B7020E"/>
    <w:rPr>
      <w:color w:val="605E5C"/>
      <w:shd w:val="clear" w:color="auto" w:fill="E1DFDD"/>
    </w:rPr>
  </w:style>
  <w:style w:type="character" w:customStyle="1" w:styleId="Heading3Char">
    <w:name w:val="Heading 3 Char"/>
    <w:basedOn w:val="DefaultParagraphFont"/>
    <w:link w:val="Heading3"/>
    <w:uiPriority w:val="9"/>
    <w:semiHidden/>
    <w:rsid w:val="007C0D98"/>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7C0D98"/>
    <w:rPr>
      <w:rFonts w:asciiTheme="majorHAnsi" w:eastAsiaTheme="majorEastAsia" w:hAnsiTheme="majorHAnsi" w:cstheme="majorBidi"/>
      <w:i/>
      <w:iCs/>
      <w:color w:val="B6332E" w:themeColor="accent1" w:themeShade="BF"/>
    </w:rPr>
  </w:style>
  <w:style w:type="character" w:styleId="UnresolvedMention">
    <w:name w:val="Unresolved Mention"/>
    <w:basedOn w:val="DefaultParagraphFont"/>
    <w:uiPriority w:val="99"/>
    <w:semiHidden/>
    <w:unhideWhenUsed/>
    <w:rsid w:val="00BF4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21964">
      <w:bodyDiv w:val="1"/>
      <w:marLeft w:val="0"/>
      <w:marRight w:val="0"/>
      <w:marTop w:val="0"/>
      <w:marBottom w:val="0"/>
      <w:divBdr>
        <w:top w:val="none" w:sz="0" w:space="0" w:color="auto"/>
        <w:left w:val="none" w:sz="0" w:space="0" w:color="auto"/>
        <w:bottom w:val="none" w:sz="0" w:space="0" w:color="auto"/>
        <w:right w:val="none" w:sz="0" w:space="0" w:color="auto"/>
      </w:divBdr>
      <w:divsChild>
        <w:div w:id="1075012496">
          <w:marLeft w:val="0"/>
          <w:marRight w:val="0"/>
          <w:marTop w:val="0"/>
          <w:marBottom w:val="0"/>
          <w:divBdr>
            <w:top w:val="none" w:sz="0" w:space="0" w:color="auto"/>
            <w:left w:val="none" w:sz="0" w:space="0" w:color="auto"/>
            <w:bottom w:val="none" w:sz="0" w:space="0" w:color="auto"/>
            <w:right w:val="none" w:sz="0" w:space="0" w:color="auto"/>
          </w:divBdr>
          <w:divsChild>
            <w:div w:id="1662388920">
              <w:marLeft w:val="0"/>
              <w:marRight w:val="0"/>
              <w:marTop w:val="0"/>
              <w:marBottom w:val="0"/>
              <w:divBdr>
                <w:top w:val="none" w:sz="0" w:space="0" w:color="auto"/>
                <w:left w:val="none" w:sz="0" w:space="0" w:color="auto"/>
                <w:bottom w:val="none" w:sz="0" w:space="0" w:color="auto"/>
                <w:right w:val="none" w:sz="0" w:space="0" w:color="auto"/>
              </w:divBdr>
              <w:divsChild>
                <w:div w:id="7692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4460">
      <w:bodyDiv w:val="1"/>
      <w:marLeft w:val="0"/>
      <w:marRight w:val="0"/>
      <w:marTop w:val="0"/>
      <w:marBottom w:val="0"/>
      <w:divBdr>
        <w:top w:val="none" w:sz="0" w:space="0" w:color="auto"/>
        <w:left w:val="none" w:sz="0" w:space="0" w:color="auto"/>
        <w:bottom w:val="none" w:sz="0" w:space="0" w:color="auto"/>
        <w:right w:val="none" w:sz="0" w:space="0" w:color="auto"/>
      </w:divBdr>
      <w:divsChild>
        <w:div w:id="1024939605">
          <w:marLeft w:val="0"/>
          <w:marRight w:val="0"/>
          <w:marTop w:val="0"/>
          <w:marBottom w:val="0"/>
          <w:divBdr>
            <w:top w:val="none" w:sz="0" w:space="0" w:color="auto"/>
            <w:left w:val="none" w:sz="0" w:space="0" w:color="auto"/>
            <w:bottom w:val="none" w:sz="0" w:space="0" w:color="auto"/>
            <w:right w:val="none" w:sz="0" w:space="0" w:color="auto"/>
          </w:divBdr>
          <w:divsChild>
            <w:div w:id="1709446574">
              <w:marLeft w:val="0"/>
              <w:marRight w:val="0"/>
              <w:marTop w:val="0"/>
              <w:marBottom w:val="0"/>
              <w:divBdr>
                <w:top w:val="none" w:sz="0" w:space="0" w:color="auto"/>
                <w:left w:val="none" w:sz="0" w:space="0" w:color="auto"/>
                <w:bottom w:val="none" w:sz="0" w:space="0" w:color="auto"/>
                <w:right w:val="none" w:sz="0" w:space="0" w:color="auto"/>
              </w:divBdr>
              <w:divsChild>
                <w:div w:id="7478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penn.edu/policies/pennbook/2013/02/13/code-of-academic-integr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maxwell@upen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xnere@pennmedicine.upenn.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ilone@pennmedicine.upen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vas.upenn.edu/profile/communication"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3.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Greene</dc:creator>
  <cp:lastModifiedBy>Maxwell, Megan S</cp:lastModifiedBy>
  <cp:revision>4</cp:revision>
  <cp:lastPrinted>2016-05-01T20:34:00Z</cp:lastPrinted>
  <dcterms:created xsi:type="dcterms:W3CDTF">2023-01-17T21:44:00Z</dcterms:created>
  <dcterms:modified xsi:type="dcterms:W3CDTF">2023-01-18T14:19:00Z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