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6673" w14:textId="567D2AEB" w:rsidR="00D376D2" w:rsidRPr="00C544A8" w:rsidRDefault="00AB5389" w:rsidP="00224AB2">
      <w:pPr>
        <w:pStyle w:val="Heading1"/>
        <w:rPr>
          <w:rFonts w:ascii="Trebuchet MS" w:hAnsi="Trebuchet MS"/>
        </w:rPr>
      </w:pPr>
      <w:r w:rsidRPr="00C544A8">
        <w:rPr>
          <w:rFonts w:ascii="Trebuchet MS" w:hAnsi="Trebuchet MS"/>
        </w:rPr>
        <w:t>REG 6150</w:t>
      </w:r>
      <w:r w:rsidR="00D376D2" w:rsidRPr="00C544A8">
        <w:rPr>
          <w:rFonts w:ascii="Trebuchet MS" w:hAnsi="Trebuchet MS"/>
        </w:rPr>
        <w:t xml:space="preserve">: </w:t>
      </w:r>
      <w:r w:rsidRPr="00C544A8">
        <w:rPr>
          <w:rFonts w:ascii="Trebuchet MS" w:hAnsi="Trebuchet MS"/>
        </w:rPr>
        <w:t>Post-Approval Maintenance of Drugs, Biologics, and Devices</w:t>
      </w:r>
    </w:p>
    <w:p w14:paraId="189D0F63" w14:textId="4F214B8D" w:rsidR="00D376D2" w:rsidRPr="00C544A8" w:rsidRDefault="65923C26" w:rsidP="65923C26">
      <w:pPr>
        <w:pStyle w:val="Heading2"/>
        <w:spacing w:before="120" w:after="120"/>
        <w:ind w:left="0"/>
        <w:rPr>
          <w:rFonts w:eastAsiaTheme="minorEastAsia" w:cstheme="minorBidi"/>
        </w:rPr>
      </w:pPr>
      <w:r w:rsidRPr="00C544A8">
        <w:rPr>
          <w:rFonts w:eastAsiaTheme="minorEastAsia" w:cstheme="minorBidi"/>
          <w:color w:val="262626" w:themeColor="text1" w:themeTint="D9"/>
        </w:rPr>
        <w:t xml:space="preserve">Spring 2023 </w:t>
      </w:r>
    </w:p>
    <w:p w14:paraId="5DCFC6F0" w14:textId="453A35FA" w:rsidR="00D376D2" w:rsidRPr="00C544A8" w:rsidRDefault="65923C26" w:rsidP="65923C26">
      <w:pPr>
        <w:spacing w:before="240" w:after="120"/>
        <w:rPr>
          <w:rFonts w:eastAsiaTheme="minorEastAsia" w:cstheme="minorBidi"/>
          <w:b/>
          <w:bCs/>
          <w:color w:val="262626"/>
          <w:sz w:val="24"/>
          <w:szCs w:val="24"/>
        </w:rPr>
      </w:pPr>
      <w:r w:rsidRPr="00C544A8">
        <w:rPr>
          <w:rFonts w:eastAsiaTheme="minorEastAsia" w:cstheme="minorBidi"/>
          <w:b/>
          <w:bCs/>
          <w:color w:val="262626" w:themeColor="text1" w:themeTint="D9"/>
          <w:sz w:val="24"/>
          <w:szCs w:val="24"/>
        </w:rPr>
        <w:t>Instructor Information</w:t>
      </w:r>
    </w:p>
    <w:tbl>
      <w:tblPr>
        <w:tblStyle w:val="SyllabusTable-NoBorders"/>
        <w:tblW w:w="5000" w:type="pct"/>
        <w:tblCellMar>
          <w:left w:w="108" w:type="dxa"/>
          <w:right w:w="108" w:type="dxa"/>
        </w:tblCellMar>
        <w:tblLook w:val="04A0" w:firstRow="1" w:lastRow="0" w:firstColumn="1" w:lastColumn="0" w:noHBand="0" w:noVBand="1"/>
      </w:tblPr>
      <w:tblGrid>
        <w:gridCol w:w="3120"/>
        <w:gridCol w:w="3121"/>
        <w:gridCol w:w="3119"/>
      </w:tblGrid>
      <w:tr w:rsidR="00D376D2" w:rsidRPr="00C544A8" w14:paraId="4F497A21" w14:textId="77777777" w:rsidTr="65923C26">
        <w:trPr>
          <w:cnfStyle w:val="100000000000" w:firstRow="1" w:lastRow="0" w:firstColumn="0" w:lastColumn="0" w:oddVBand="0" w:evenVBand="0" w:oddHBand="0" w:evenHBand="0" w:firstRowFirstColumn="0" w:firstRowLastColumn="0" w:lastRowFirstColumn="0" w:lastRowLastColumn="0"/>
        </w:trPr>
        <w:tc>
          <w:tcPr>
            <w:tcW w:w="1667" w:type="pct"/>
          </w:tcPr>
          <w:p w14:paraId="070FCF11" w14:textId="77777777" w:rsidR="00D376D2" w:rsidRPr="00C544A8" w:rsidRDefault="65923C26" w:rsidP="65923C26">
            <w:pPr>
              <w:spacing w:before="60" w:after="60"/>
              <w:rPr>
                <w:rFonts w:eastAsiaTheme="minorEastAsia" w:cstheme="minorBidi"/>
                <w:color w:val="C00000"/>
                <w:sz w:val="22"/>
                <w:szCs w:val="22"/>
              </w:rPr>
            </w:pPr>
            <w:r w:rsidRPr="00C544A8">
              <w:rPr>
                <w:rFonts w:eastAsiaTheme="minorEastAsia" w:cstheme="minorBidi"/>
                <w:color w:val="4472C4" w:themeColor="accent5"/>
                <w:sz w:val="22"/>
                <w:szCs w:val="22"/>
              </w:rPr>
              <w:t>Course Director</w:t>
            </w:r>
          </w:p>
        </w:tc>
        <w:tc>
          <w:tcPr>
            <w:tcW w:w="1667" w:type="pct"/>
          </w:tcPr>
          <w:p w14:paraId="0487658B" w14:textId="77777777" w:rsidR="00D376D2" w:rsidRPr="00C544A8" w:rsidRDefault="65923C26" w:rsidP="65923C26">
            <w:pPr>
              <w:spacing w:before="60" w:after="60"/>
              <w:rPr>
                <w:rFonts w:eastAsiaTheme="minorEastAsia" w:cstheme="minorBidi"/>
                <w:color w:val="C00000"/>
                <w:sz w:val="22"/>
                <w:szCs w:val="22"/>
              </w:rPr>
            </w:pPr>
            <w:r w:rsidRPr="00C544A8">
              <w:rPr>
                <w:rFonts w:eastAsiaTheme="minorEastAsia" w:cstheme="minorBidi"/>
                <w:color w:val="4472C4" w:themeColor="accent5"/>
                <w:sz w:val="22"/>
                <w:szCs w:val="22"/>
              </w:rPr>
              <w:t>Email</w:t>
            </w:r>
          </w:p>
        </w:tc>
        <w:tc>
          <w:tcPr>
            <w:tcW w:w="1666" w:type="pct"/>
          </w:tcPr>
          <w:p w14:paraId="594F38F8" w14:textId="7AE847CB" w:rsidR="00D376D2" w:rsidRPr="00C544A8" w:rsidRDefault="65923C26" w:rsidP="65923C26">
            <w:pPr>
              <w:spacing w:before="60" w:after="60"/>
              <w:rPr>
                <w:rFonts w:eastAsiaTheme="minorEastAsia" w:cstheme="minorBidi"/>
                <w:color w:val="4472C4" w:themeColor="accent5"/>
                <w:sz w:val="22"/>
                <w:szCs w:val="22"/>
              </w:rPr>
            </w:pPr>
            <w:r w:rsidRPr="00C544A8">
              <w:rPr>
                <w:rFonts w:eastAsiaTheme="minorEastAsia" w:cstheme="minorBidi"/>
                <w:color w:val="4472C4" w:themeColor="accent5"/>
                <w:sz w:val="22"/>
                <w:szCs w:val="22"/>
              </w:rPr>
              <w:t>Class Location and Time</w:t>
            </w:r>
          </w:p>
        </w:tc>
      </w:tr>
      <w:tr w:rsidR="00D376D2" w:rsidRPr="00C544A8" w14:paraId="2BC88F87" w14:textId="77777777" w:rsidTr="65923C26">
        <w:trPr>
          <w:trHeight w:val="162"/>
        </w:trPr>
        <w:tc>
          <w:tcPr>
            <w:tcW w:w="1667" w:type="pct"/>
          </w:tcPr>
          <w:p w14:paraId="50DF1D61" w14:textId="05B3E2C8" w:rsidR="00D376D2" w:rsidRPr="00C544A8" w:rsidRDefault="65923C26" w:rsidP="65923C26">
            <w:pPr>
              <w:pStyle w:val="NoSpacing"/>
              <w:spacing w:before="60" w:after="60"/>
              <w:rPr>
                <w:rFonts w:ascii="Trebuchet MS" w:eastAsiaTheme="minorEastAsia" w:hAnsi="Trebuchet MS"/>
                <w:color w:val="auto"/>
                <w:sz w:val="22"/>
                <w:szCs w:val="22"/>
              </w:rPr>
            </w:pPr>
            <w:r w:rsidRPr="00C544A8">
              <w:rPr>
                <w:rStyle w:val="Strong"/>
                <w:rFonts w:ascii="Trebuchet MS" w:eastAsiaTheme="minorEastAsia" w:hAnsi="Trebuchet MS"/>
                <w:b w:val="0"/>
                <w:bCs w:val="0"/>
                <w:color w:val="auto"/>
                <w:sz w:val="22"/>
                <w:szCs w:val="22"/>
              </w:rPr>
              <w:t xml:space="preserve">Michele A Roy, RN, MS </w:t>
            </w:r>
          </w:p>
        </w:tc>
        <w:tc>
          <w:tcPr>
            <w:tcW w:w="1667" w:type="pct"/>
          </w:tcPr>
          <w:p w14:paraId="1A76E077" w14:textId="3932C683" w:rsidR="00D376D2" w:rsidRPr="00C544A8" w:rsidRDefault="00024D16" w:rsidP="65923C26">
            <w:pPr>
              <w:pStyle w:val="NoSpacing"/>
              <w:spacing w:before="60" w:after="60"/>
              <w:rPr>
                <w:rFonts w:ascii="Trebuchet MS" w:eastAsiaTheme="minorEastAsia" w:hAnsi="Trebuchet MS"/>
                <w:color w:val="auto"/>
                <w:sz w:val="22"/>
                <w:szCs w:val="22"/>
              </w:rPr>
            </w:pPr>
            <w:hyperlink r:id="rId7">
              <w:r w:rsidR="65923C26" w:rsidRPr="00C544A8">
                <w:rPr>
                  <w:rStyle w:val="Hyperlink"/>
                  <w:rFonts w:ascii="Trebuchet MS" w:eastAsiaTheme="minorEastAsia" w:hAnsi="Trebuchet MS"/>
                  <w:color w:val="auto"/>
                  <w:sz w:val="22"/>
                  <w:szCs w:val="22"/>
                  <w:u w:val="none"/>
                </w:rPr>
                <w:t>micheleroy06@yahoo.com</w:t>
              </w:r>
              <w:r w:rsidR="005F0D18" w:rsidRPr="00C544A8">
                <w:rPr>
                  <w:rFonts w:ascii="Trebuchet MS" w:hAnsi="Trebuchet MS"/>
                  <w:color w:val="auto"/>
                  <w:sz w:val="22"/>
                  <w:szCs w:val="22"/>
                </w:rPr>
                <w:br/>
              </w:r>
            </w:hyperlink>
            <w:r w:rsidR="65923C26" w:rsidRPr="00C544A8">
              <w:rPr>
                <w:rFonts w:ascii="Trebuchet MS" w:eastAsiaTheme="minorEastAsia" w:hAnsi="Trebuchet MS"/>
                <w:color w:val="auto"/>
                <w:sz w:val="22"/>
                <w:szCs w:val="22"/>
              </w:rPr>
              <w:t>610-217-7536</w:t>
            </w:r>
          </w:p>
        </w:tc>
        <w:tc>
          <w:tcPr>
            <w:tcW w:w="1666" w:type="pct"/>
          </w:tcPr>
          <w:p w14:paraId="70BC4724" w14:textId="156B1666" w:rsidR="00D376D2" w:rsidRPr="00C544A8" w:rsidRDefault="65923C26" w:rsidP="65923C26">
            <w:pPr>
              <w:pStyle w:val="NoSpacing"/>
              <w:spacing w:before="60" w:after="60"/>
              <w:rPr>
                <w:rFonts w:ascii="Trebuchet MS" w:eastAsiaTheme="minorEastAsia" w:hAnsi="Trebuchet MS"/>
                <w:color w:val="auto"/>
                <w:sz w:val="22"/>
                <w:szCs w:val="22"/>
              </w:rPr>
            </w:pPr>
            <w:r w:rsidRPr="00C544A8">
              <w:rPr>
                <w:rFonts w:ascii="Trebuchet MS" w:eastAsiaTheme="minorEastAsia" w:hAnsi="Trebuchet MS"/>
                <w:color w:val="auto"/>
                <w:sz w:val="22"/>
                <w:szCs w:val="22"/>
              </w:rPr>
              <w:t>Online (Zoom)</w:t>
            </w:r>
          </w:p>
          <w:p w14:paraId="5D8E00FB" w14:textId="58B7BF06" w:rsidR="00D376D2" w:rsidRPr="00C544A8" w:rsidRDefault="65923C26" w:rsidP="65923C26">
            <w:pPr>
              <w:pStyle w:val="NoSpacing"/>
              <w:spacing w:before="60" w:after="60"/>
              <w:rPr>
                <w:rFonts w:ascii="Trebuchet MS" w:eastAsiaTheme="minorEastAsia" w:hAnsi="Trebuchet MS"/>
                <w:color w:val="auto"/>
                <w:sz w:val="22"/>
                <w:szCs w:val="22"/>
              </w:rPr>
            </w:pPr>
            <w:r w:rsidRPr="00C544A8">
              <w:rPr>
                <w:rFonts w:ascii="Trebuchet MS" w:eastAsiaTheme="minorEastAsia" w:hAnsi="Trebuchet MS"/>
                <w:color w:val="auto"/>
                <w:sz w:val="22"/>
                <w:szCs w:val="22"/>
              </w:rPr>
              <w:t>Thursdays, 5 p.m.</w:t>
            </w:r>
          </w:p>
        </w:tc>
      </w:tr>
      <w:tr w:rsidR="00D376D2" w:rsidRPr="00C544A8" w14:paraId="2B74BCB3" w14:textId="77777777" w:rsidTr="65923C26">
        <w:tc>
          <w:tcPr>
            <w:tcW w:w="1667" w:type="pct"/>
          </w:tcPr>
          <w:p w14:paraId="7D84B0D4" w14:textId="77777777" w:rsidR="00D376D2" w:rsidRPr="00C544A8" w:rsidRDefault="65923C26" w:rsidP="65923C26">
            <w:pPr>
              <w:spacing w:before="60" w:after="60"/>
              <w:rPr>
                <w:rFonts w:eastAsiaTheme="minorEastAsia" w:cstheme="minorBidi"/>
                <w:b/>
                <w:bCs/>
                <w:color w:val="C00000"/>
                <w:sz w:val="22"/>
                <w:szCs w:val="22"/>
              </w:rPr>
            </w:pPr>
            <w:r w:rsidRPr="00C544A8">
              <w:rPr>
                <w:rFonts w:eastAsiaTheme="minorEastAsia" w:cstheme="minorBidi"/>
                <w:b/>
                <w:bCs/>
                <w:color w:val="4472C4" w:themeColor="accent5"/>
                <w:sz w:val="22"/>
                <w:szCs w:val="22"/>
              </w:rPr>
              <w:t>Course Coordinator</w:t>
            </w:r>
          </w:p>
        </w:tc>
        <w:tc>
          <w:tcPr>
            <w:tcW w:w="1667" w:type="pct"/>
          </w:tcPr>
          <w:p w14:paraId="7213FE54" w14:textId="77777777" w:rsidR="00D376D2" w:rsidRPr="00C544A8" w:rsidRDefault="65923C26" w:rsidP="65923C26">
            <w:pPr>
              <w:spacing w:before="60" w:after="60"/>
              <w:rPr>
                <w:rFonts w:eastAsiaTheme="minorEastAsia" w:cstheme="minorBidi"/>
                <w:b/>
                <w:bCs/>
                <w:color w:val="C00000"/>
                <w:sz w:val="22"/>
                <w:szCs w:val="22"/>
              </w:rPr>
            </w:pPr>
            <w:r w:rsidRPr="00C544A8">
              <w:rPr>
                <w:rFonts w:eastAsiaTheme="minorEastAsia" w:cstheme="minorBidi"/>
                <w:b/>
                <w:bCs/>
                <w:color w:val="4472C4" w:themeColor="accent5"/>
                <w:sz w:val="22"/>
                <w:szCs w:val="22"/>
              </w:rPr>
              <w:t>Email</w:t>
            </w:r>
          </w:p>
        </w:tc>
        <w:tc>
          <w:tcPr>
            <w:tcW w:w="1666" w:type="pct"/>
          </w:tcPr>
          <w:p w14:paraId="17016462" w14:textId="5876A73E" w:rsidR="00D376D2" w:rsidRPr="00C544A8" w:rsidRDefault="00D376D2" w:rsidP="65923C26">
            <w:pPr>
              <w:spacing w:before="60" w:after="60"/>
              <w:rPr>
                <w:rFonts w:eastAsiaTheme="minorEastAsia" w:cstheme="minorBidi"/>
                <w:b/>
                <w:bCs/>
                <w:color w:val="4472C4" w:themeColor="accent5"/>
                <w:sz w:val="22"/>
                <w:szCs w:val="22"/>
              </w:rPr>
            </w:pPr>
          </w:p>
        </w:tc>
      </w:tr>
      <w:tr w:rsidR="00D376D2" w:rsidRPr="00C544A8" w14:paraId="0869BC82" w14:textId="77777777" w:rsidTr="65923C26">
        <w:trPr>
          <w:trHeight w:val="162"/>
        </w:trPr>
        <w:tc>
          <w:tcPr>
            <w:tcW w:w="1667" w:type="pct"/>
          </w:tcPr>
          <w:p w14:paraId="3877E23D" w14:textId="6D0737CC" w:rsidR="00D376D2" w:rsidRPr="00C544A8" w:rsidRDefault="00224AB2" w:rsidP="65923C26">
            <w:pPr>
              <w:pStyle w:val="NoSpacing"/>
              <w:spacing w:before="60" w:after="60"/>
              <w:rPr>
                <w:rFonts w:ascii="Trebuchet MS" w:eastAsiaTheme="minorEastAsia" w:hAnsi="Trebuchet MS"/>
                <w:color w:val="auto"/>
                <w:sz w:val="22"/>
                <w:szCs w:val="22"/>
              </w:rPr>
            </w:pPr>
            <w:r w:rsidRPr="00C544A8">
              <w:rPr>
                <w:rStyle w:val="Strong"/>
                <w:rFonts w:ascii="Trebuchet MS" w:hAnsi="Trebuchet MS"/>
                <w:b w:val="0"/>
                <w:bCs w:val="0"/>
                <w:color w:val="auto"/>
                <w:sz w:val="22"/>
                <w:szCs w:val="22"/>
              </w:rPr>
              <w:t>Nik Kroushl</w:t>
            </w:r>
          </w:p>
        </w:tc>
        <w:tc>
          <w:tcPr>
            <w:tcW w:w="1667" w:type="pct"/>
          </w:tcPr>
          <w:p w14:paraId="2B53EE33" w14:textId="5BE76E13" w:rsidR="00D376D2" w:rsidRPr="00C544A8" w:rsidRDefault="00224AB2" w:rsidP="65923C26">
            <w:pPr>
              <w:pStyle w:val="NoSpacing"/>
              <w:spacing w:before="60" w:after="60"/>
              <w:rPr>
                <w:rFonts w:ascii="Trebuchet MS" w:eastAsiaTheme="minorEastAsia" w:hAnsi="Trebuchet MS"/>
                <w:color w:val="auto"/>
                <w:sz w:val="22"/>
                <w:szCs w:val="22"/>
              </w:rPr>
            </w:pPr>
            <w:r w:rsidRPr="00C544A8">
              <w:rPr>
                <w:rFonts w:ascii="Trebuchet MS" w:hAnsi="Trebuchet MS"/>
                <w:color w:val="auto"/>
                <w:sz w:val="22"/>
                <w:szCs w:val="22"/>
              </w:rPr>
              <w:t>nkroushl@upenn.edu</w:t>
            </w:r>
          </w:p>
        </w:tc>
        <w:tc>
          <w:tcPr>
            <w:tcW w:w="1666" w:type="pct"/>
          </w:tcPr>
          <w:p w14:paraId="4DE5EAB3" w14:textId="5AFAD548" w:rsidR="00D376D2" w:rsidRPr="00C544A8" w:rsidRDefault="00D376D2" w:rsidP="65923C26">
            <w:pPr>
              <w:pStyle w:val="NoSpacing"/>
              <w:spacing w:before="60" w:after="60"/>
              <w:rPr>
                <w:rFonts w:ascii="Trebuchet MS" w:eastAsiaTheme="minorEastAsia" w:hAnsi="Trebuchet MS"/>
                <w:sz w:val="22"/>
                <w:szCs w:val="22"/>
              </w:rPr>
            </w:pPr>
          </w:p>
        </w:tc>
      </w:tr>
    </w:tbl>
    <w:p w14:paraId="2A9A0748" w14:textId="77777777" w:rsidR="00D376D2" w:rsidRPr="00C544A8" w:rsidRDefault="00D376D2" w:rsidP="65923C26">
      <w:pPr>
        <w:spacing w:before="120" w:after="120"/>
        <w:rPr>
          <w:rFonts w:eastAsiaTheme="minorEastAsia" w:cstheme="minorBidi"/>
          <w:sz w:val="24"/>
          <w:szCs w:val="24"/>
        </w:rPr>
      </w:pPr>
    </w:p>
    <w:p w14:paraId="72161AD6" w14:textId="77777777" w:rsidR="00D376D2" w:rsidRPr="00C544A8" w:rsidRDefault="65923C26" w:rsidP="65923C26">
      <w:pPr>
        <w:pStyle w:val="Heading2"/>
        <w:spacing w:before="120" w:after="120"/>
        <w:ind w:left="0"/>
        <w:rPr>
          <w:rFonts w:eastAsiaTheme="minorEastAsia" w:cstheme="minorBidi"/>
        </w:rPr>
      </w:pPr>
      <w:r w:rsidRPr="00C544A8">
        <w:rPr>
          <w:rFonts w:eastAsiaTheme="minorEastAsia" w:cstheme="minorBidi"/>
          <w:color w:val="262626" w:themeColor="text1" w:themeTint="D9"/>
        </w:rPr>
        <w:t>General Information</w:t>
      </w:r>
    </w:p>
    <w:p w14:paraId="55108119" w14:textId="279FF243" w:rsidR="00D376D2" w:rsidRPr="00C544A8" w:rsidRDefault="00D376D2" w:rsidP="65923C26">
      <w:pPr>
        <w:spacing w:before="240" w:after="120"/>
        <w:rPr>
          <w:rFonts w:eastAsiaTheme="minorEastAsia" w:cstheme="minorBidi"/>
          <w:b/>
          <w:bCs/>
          <w:sz w:val="24"/>
          <w:szCs w:val="24"/>
        </w:rPr>
      </w:pPr>
      <w:r w:rsidRPr="00C544A8">
        <w:rPr>
          <w:rFonts w:eastAsiaTheme="minorEastAsia" w:cstheme="minorBidi"/>
          <w:b/>
          <w:bCs/>
          <w:color w:val="4472C4" w:themeColor="accent5"/>
          <w:w w:val="105"/>
          <w:sz w:val="24"/>
          <w:szCs w:val="24"/>
        </w:rPr>
        <w:t>Description</w:t>
      </w:r>
    </w:p>
    <w:p w14:paraId="75357193" w14:textId="31C5502C" w:rsidR="00D376D2" w:rsidRPr="00C544A8" w:rsidRDefault="00E9735B" w:rsidP="00C544A8">
      <w:pPr>
        <w:rPr>
          <w:w w:val="105"/>
        </w:rPr>
      </w:pPr>
      <w:r w:rsidRPr="00C544A8">
        <w:rPr>
          <w:w w:val="105"/>
        </w:rPr>
        <w:t>Drug development is complex, time consuming, and resource intense</w:t>
      </w:r>
      <w:r w:rsidR="00D01E09" w:rsidRPr="00C544A8">
        <w:rPr>
          <w:w w:val="105"/>
        </w:rPr>
        <w:t xml:space="preserve"> across multiple disciplines that require subject matter expertise.  T</w:t>
      </w:r>
      <w:r w:rsidR="009A72E0" w:rsidRPr="00C544A8">
        <w:rPr>
          <w:w w:val="105"/>
        </w:rPr>
        <w:t xml:space="preserve">he goal </w:t>
      </w:r>
      <w:r w:rsidR="00D01E09" w:rsidRPr="00C544A8">
        <w:rPr>
          <w:w w:val="105"/>
        </w:rPr>
        <w:t>is to obtain</w:t>
      </w:r>
      <w:r w:rsidR="009A72E0" w:rsidRPr="00C544A8">
        <w:rPr>
          <w:w w:val="105"/>
        </w:rPr>
        <w:t xml:space="preserve"> FDA-approval of a marketing application</w:t>
      </w:r>
      <w:r w:rsidR="00D01E09" w:rsidRPr="00C544A8">
        <w:rPr>
          <w:w w:val="105"/>
        </w:rPr>
        <w:t>, which</w:t>
      </w:r>
      <w:r w:rsidR="000A6306" w:rsidRPr="00C544A8">
        <w:rPr>
          <w:w w:val="105"/>
        </w:rPr>
        <w:t>, once achieved,</w:t>
      </w:r>
      <w:r w:rsidR="00D01E09" w:rsidRPr="00C544A8">
        <w:rPr>
          <w:w w:val="105"/>
        </w:rPr>
        <w:t xml:space="preserve"> is a major accomplishment</w:t>
      </w:r>
      <w:r w:rsidR="009A72E0" w:rsidRPr="00C544A8">
        <w:rPr>
          <w:w w:val="105"/>
        </w:rPr>
        <w:t xml:space="preserve">.  </w:t>
      </w:r>
      <w:r w:rsidR="00D01E09" w:rsidRPr="00C544A8">
        <w:rPr>
          <w:w w:val="105"/>
        </w:rPr>
        <w:t xml:space="preserve">However, </w:t>
      </w:r>
      <w:r w:rsidR="000A6306" w:rsidRPr="00C544A8">
        <w:rPr>
          <w:w w:val="105"/>
        </w:rPr>
        <w:t>marketing approval</w:t>
      </w:r>
      <w:r w:rsidR="00D01E09" w:rsidRPr="00C544A8">
        <w:rPr>
          <w:w w:val="105"/>
        </w:rPr>
        <w:t xml:space="preserve"> brings significant Sponsor responsibilities as FDA continues to </w:t>
      </w:r>
      <w:r w:rsidR="00BE678C" w:rsidRPr="00C544A8">
        <w:rPr>
          <w:w w:val="105"/>
        </w:rPr>
        <w:t>enforce</w:t>
      </w:r>
      <w:r w:rsidR="00D01E09" w:rsidRPr="00C544A8">
        <w:rPr>
          <w:w w:val="105"/>
        </w:rPr>
        <w:t xml:space="preserve"> strict regulatory requirements to ensure marketed products maintain </w:t>
      </w:r>
      <w:r w:rsidR="00064A64" w:rsidRPr="00C544A8">
        <w:rPr>
          <w:w w:val="105"/>
        </w:rPr>
        <w:t>their</w:t>
      </w:r>
      <w:r w:rsidR="00D01E09" w:rsidRPr="00C544A8">
        <w:rPr>
          <w:w w:val="105"/>
        </w:rPr>
        <w:t xml:space="preserve"> favorable benefit/risk profile</w:t>
      </w:r>
      <w:r w:rsidR="00064A64" w:rsidRPr="00C544A8">
        <w:rPr>
          <w:w w:val="105"/>
        </w:rPr>
        <w:t>s</w:t>
      </w:r>
      <w:r w:rsidR="00D01E09" w:rsidRPr="00C544A8">
        <w:rPr>
          <w:w w:val="105"/>
        </w:rPr>
        <w:t xml:space="preserve"> and </w:t>
      </w:r>
      <w:r w:rsidR="00064A64" w:rsidRPr="00C544A8">
        <w:rPr>
          <w:w w:val="105"/>
        </w:rPr>
        <w:t xml:space="preserve">therefore continue to </w:t>
      </w:r>
      <w:r w:rsidR="00D01E09" w:rsidRPr="00C544A8">
        <w:rPr>
          <w:w w:val="105"/>
        </w:rPr>
        <w:t>offer safe and effective options for patients</w:t>
      </w:r>
      <w:r w:rsidR="00064A64" w:rsidRPr="00C544A8">
        <w:rPr>
          <w:w w:val="105"/>
        </w:rPr>
        <w:t xml:space="preserve">.  </w:t>
      </w:r>
    </w:p>
    <w:p w14:paraId="79A171C9" w14:textId="77777777" w:rsidR="00C544A8" w:rsidRPr="00C544A8" w:rsidRDefault="00C544A8" w:rsidP="00C544A8">
      <w:pPr>
        <w:rPr>
          <w:w w:val="105"/>
        </w:rPr>
      </w:pPr>
    </w:p>
    <w:p w14:paraId="0D3F8AD0" w14:textId="41972900" w:rsidR="00064A64" w:rsidRPr="00C544A8" w:rsidRDefault="00064A64" w:rsidP="00C544A8">
      <w:pPr>
        <w:rPr>
          <w:w w:val="105"/>
        </w:rPr>
      </w:pPr>
      <w:r w:rsidRPr="00C544A8">
        <w:rPr>
          <w:w w:val="105"/>
        </w:rPr>
        <w:t xml:space="preserve">This course is designed to provide students with an in depth understanding of the multiple regulatory requirements and marketing activities that </w:t>
      </w:r>
      <w:r w:rsidR="000A6306" w:rsidRPr="00C544A8">
        <w:rPr>
          <w:w w:val="105"/>
        </w:rPr>
        <w:t xml:space="preserve">take place following FDA approval, </w:t>
      </w:r>
      <w:r w:rsidR="00674533" w:rsidRPr="00C544A8">
        <w:rPr>
          <w:w w:val="105"/>
        </w:rPr>
        <w:t>throughout</w:t>
      </w:r>
      <w:r w:rsidR="000A6306" w:rsidRPr="00C544A8">
        <w:rPr>
          <w:w w:val="105"/>
        </w:rPr>
        <w:t xml:space="preserve"> the life</w:t>
      </w:r>
      <w:r w:rsidR="00674533" w:rsidRPr="00C544A8">
        <w:rPr>
          <w:w w:val="105"/>
        </w:rPr>
        <w:t>cycle</w:t>
      </w:r>
      <w:r w:rsidR="000A6306" w:rsidRPr="00C544A8">
        <w:rPr>
          <w:w w:val="105"/>
        </w:rPr>
        <w:t xml:space="preserve"> of a marketed product.  Topics include:</w:t>
      </w:r>
    </w:p>
    <w:p w14:paraId="5F0CBDF0" w14:textId="77777777" w:rsidR="00C544A8" w:rsidRPr="00C544A8" w:rsidRDefault="00C544A8" w:rsidP="00C544A8">
      <w:pPr>
        <w:rPr>
          <w:w w:val="105"/>
        </w:rPr>
      </w:pPr>
    </w:p>
    <w:p w14:paraId="0B47FFC7" w14:textId="2AB7A63D" w:rsidR="000A6306"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Post-marketing requirements</w:t>
      </w:r>
    </w:p>
    <w:p w14:paraId="16F1102A" w14:textId="6FB0322E" w:rsidR="000A6306"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 xml:space="preserve">Pharmacovigilance/safety surveillance </w:t>
      </w:r>
    </w:p>
    <w:p w14:paraId="55F05E45" w14:textId="5EF0EF7F"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Manufacturing throughout product lifecycle</w:t>
      </w:r>
    </w:p>
    <w:p w14:paraId="5C20D113" w14:textId="0681017F"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Device regulations</w:t>
      </w:r>
    </w:p>
    <w:p w14:paraId="1E231CD0" w14:textId="28F93A3F"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Labeling considerations</w:t>
      </w:r>
    </w:p>
    <w:p w14:paraId="7C3C3D41" w14:textId="5581FA75"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Sales, marketing, advertising, and promotional activities</w:t>
      </w:r>
    </w:p>
    <w:p w14:paraId="76723C22" w14:textId="05A2A126"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FDA inspections</w:t>
      </w:r>
    </w:p>
    <w:p w14:paraId="12703951" w14:textId="364E5D6D" w:rsidR="00674533" w:rsidRPr="00C544A8" w:rsidRDefault="65923C26" w:rsidP="65923C26">
      <w:pPr>
        <w:pStyle w:val="ListParagraph"/>
        <w:numPr>
          <w:ilvl w:val="0"/>
          <w:numId w:val="3"/>
        </w:numPr>
        <w:rPr>
          <w:rFonts w:eastAsiaTheme="minorEastAsia" w:cstheme="minorBidi"/>
          <w:sz w:val="24"/>
          <w:szCs w:val="24"/>
        </w:rPr>
      </w:pPr>
      <w:r w:rsidRPr="00C544A8">
        <w:rPr>
          <w:rFonts w:eastAsiaTheme="minorEastAsia" w:cstheme="minorBidi"/>
          <w:sz w:val="24"/>
          <w:szCs w:val="24"/>
        </w:rPr>
        <w:t>General lifecycle management, label expansion, patent and exclusivity considerations</w:t>
      </w:r>
    </w:p>
    <w:p w14:paraId="77630240" w14:textId="77777777" w:rsidR="004E3930" w:rsidRPr="00C544A8" w:rsidRDefault="004E3930" w:rsidP="65923C26">
      <w:pPr>
        <w:pStyle w:val="ListParagraph"/>
        <w:ind w:left="720" w:firstLine="0"/>
        <w:rPr>
          <w:rFonts w:eastAsiaTheme="minorEastAsia" w:cstheme="minorBidi"/>
          <w:sz w:val="24"/>
          <w:szCs w:val="24"/>
        </w:rPr>
      </w:pPr>
    </w:p>
    <w:p w14:paraId="6FFD6182" w14:textId="77777777" w:rsidR="00D376D2" w:rsidRPr="00C544A8" w:rsidRDefault="00D376D2" w:rsidP="65923C26">
      <w:pPr>
        <w:spacing w:before="240" w:after="120"/>
        <w:rPr>
          <w:rFonts w:eastAsiaTheme="minorEastAsia" w:cstheme="minorBidi"/>
          <w:b/>
          <w:bCs/>
          <w:sz w:val="24"/>
          <w:szCs w:val="24"/>
        </w:rPr>
      </w:pPr>
      <w:r w:rsidRPr="00C544A8">
        <w:rPr>
          <w:rFonts w:eastAsiaTheme="minorEastAsia" w:cstheme="minorBidi"/>
          <w:b/>
          <w:bCs/>
          <w:color w:val="4472C4" w:themeColor="accent5"/>
          <w:w w:val="105"/>
          <w:sz w:val="24"/>
          <w:szCs w:val="24"/>
        </w:rPr>
        <w:t>Objectives</w:t>
      </w:r>
    </w:p>
    <w:p w14:paraId="6692BD72" w14:textId="04ABB545" w:rsidR="00D376D2" w:rsidRPr="00C544A8" w:rsidRDefault="00D376D2" w:rsidP="65923C26">
      <w:pPr>
        <w:spacing w:before="120" w:after="120"/>
        <w:rPr>
          <w:rFonts w:eastAsiaTheme="minorEastAsia" w:cstheme="minorBidi"/>
          <w:color w:val="404040"/>
          <w:w w:val="105"/>
          <w:sz w:val="24"/>
          <w:szCs w:val="24"/>
        </w:rPr>
      </w:pPr>
      <w:r w:rsidRPr="00C544A8">
        <w:rPr>
          <w:rFonts w:eastAsiaTheme="minorEastAsia" w:cstheme="minorBidi"/>
          <w:color w:val="404040"/>
          <w:w w:val="105"/>
          <w:sz w:val="24"/>
          <w:szCs w:val="24"/>
        </w:rPr>
        <w:t>By the end of the course, students will</w:t>
      </w:r>
      <w:r w:rsidR="000A6306" w:rsidRPr="00C544A8">
        <w:rPr>
          <w:rFonts w:eastAsiaTheme="minorEastAsia" w:cstheme="minorBidi"/>
          <w:color w:val="404040"/>
          <w:w w:val="105"/>
          <w:sz w:val="24"/>
          <w:szCs w:val="24"/>
        </w:rPr>
        <w:t xml:space="preserve"> be able to</w:t>
      </w:r>
      <w:r w:rsidRPr="00C544A8">
        <w:rPr>
          <w:rFonts w:eastAsiaTheme="minorEastAsia" w:cstheme="minorBidi"/>
          <w:color w:val="404040"/>
          <w:w w:val="105"/>
          <w:sz w:val="24"/>
          <w:szCs w:val="24"/>
        </w:rPr>
        <w:t>:</w:t>
      </w:r>
    </w:p>
    <w:p w14:paraId="6072AF91" w14:textId="4464549B" w:rsidR="489CAB3B" w:rsidRPr="00C544A8" w:rsidRDefault="65923C26" w:rsidP="65923C26">
      <w:pPr>
        <w:pStyle w:val="ListParagraph"/>
        <w:numPr>
          <w:ilvl w:val="0"/>
          <w:numId w:val="3"/>
        </w:numPr>
        <w:tabs>
          <w:tab w:val="left" w:pos="1112"/>
          <w:tab w:val="left" w:pos="1113"/>
        </w:tabs>
        <w:rPr>
          <w:rFonts w:eastAsiaTheme="minorEastAsia" w:cstheme="minorBidi"/>
          <w:color w:val="000000" w:themeColor="text1"/>
          <w:sz w:val="24"/>
          <w:szCs w:val="24"/>
        </w:rPr>
      </w:pPr>
      <w:r w:rsidRPr="00C544A8">
        <w:rPr>
          <w:rFonts w:eastAsiaTheme="minorEastAsia" w:cstheme="minorBidi"/>
          <w:sz w:val="24"/>
          <w:szCs w:val="24"/>
        </w:rPr>
        <w:t>Identify key post-marketing FDA regulations across specific pharmaceutical disciplines</w:t>
      </w:r>
    </w:p>
    <w:p w14:paraId="7F20F2CD" w14:textId="042C9C1E"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lastRenderedPageBreak/>
        <w:t>Explain key post-marketing FDA reporting requirements</w:t>
      </w:r>
    </w:p>
    <w:p w14:paraId="39BF139B" w14:textId="593B4C67"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t>Describe post-marketing safety reporting</w:t>
      </w:r>
    </w:p>
    <w:p w14:paraId="65F8CF83" w14:textId="0F74BC2B"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t>Interpret FDA-approved product labeling</w:t>
      </w:r>
    </w:p>
    <w:p w14:paraId="313AB8EA" w14:textId="615E40A7"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t>Discuss post-marketing studies</w:t>
      </w:r>
    </w:p>
    <w:p w14:paraId="300BDA96" w14:textId="505A7EE7"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t>Analyze ongoing manufacturing changes and their impact on the approved application</w:t>
      </w:r>
    </w:p>
    <w:p w14:paraId="2FB6AF30" w14:textId="4FAB2B54" w:rsidR="489CAB3B" w:rsidRPr="00C544A8" w:rsidRDefault="65923C26" w:rsidP="65923C26">
      <w:pPr>
        <w:pStyle w:val="ListParagraph"/>
        <w:numPr>
          <w:ilvl w:val="0"/>
          <w:numId w:val="3"/>
        </w:numPr>
        <w:rPr>
          <w:rFonts w:eastAsiaTheme="minorEastAsia" w:cstheme="minorBidi"/>
          <w:color w:val="000000" w:themeColor="text1"/>
          <w:sz w:val="24"/>
          <w:szCs w:val="24"/>
        </w:rPr>
      </w:pPr>
      <w:r w:rsidRPr="00C544A8">
        <w:rPr>
          <w:rFonts w:eastAsiaTheme="minorEastAsia" w:cstheme="minorBidi"/>
          <w:sz w:val="24"/>
          <w:szCs w:val="24"/>
        </w:rPr>
        <w:t xml:space="preserve">Discuss sales and marketing activities and the requirements regarding advertising and promotion </w:t>
      </w:r>
    </w:p>
    <w:p w14:paraId="2C70C223" w14:textId="08ABA7AF" w:rsidR="489CAB3B" w:rsidRPr="00C544A8" w:rsidRDefault="00CD6A0A" w:rsidP="65923C26">
      <w:pPr>
        <w:pStyle w:val="ListParagraph"/>
        <w:numPr>
          <w:ilvl w:val="0"/>
          <w:numId w:val="3"/>
        </w:numPr>
        <w:rPr>
          <w:rFonts w:eastAsiaTheme="minorEastAsia" w:cstheme="minorBidi"/>
          <w:color w:val="7030A0"/>
          <w:sz w:val="24"/>
          <w:szCs w:val="24"/>
        </w:rPr>
      </w:pPr>
      <w:r w:rsidRPr="00C544A8">
        <w:rPr>
          <w:rFonts w:eastAsiaTheme="minorEastAsia" w:cstheme="minorBidi"/>
          <w:sz w:val="24"/>
          <w:szCs w:val="24"/>
        </w:rPr>
        <w:t>Describe</w:t>
      </w:r>
      <w:r w:rsidR="65923C26" w:rsidRPr="00C544A8">
        <w:rPr>
          <w:rFonts w:eastAsiaTheme="minorEastAsia" w:cstheme="minorBidi"/>
          <w:sz w:val="24"/>
          <w:szCs w:val="24"/>
        </w:rPr>
        <w:t xml:space="preserve"> lifecycle management strategies for marketed products</w:t>
      </w:r>
    </w:p>
    <w:p w14:paraId="1D8C7C91" w14:textId="77777777" w:rsidR="004E3930" w:rsidRPr="00C544A8" w:rsidRDefault="004E3930" w:rsidP="65923C26">
      <w:pPr>
        <w:pStyle w:val="ListParagraph"/>
        <w:tabs>
          <w:tab w:val="left" w:pos="1112"/>
          <w:tab w:val="left" w:pos="1113"/>
        </w:tabs>
        <w:ind w:left="720" w:firstLine="0"/>
        <w:rPr>
          <w:rFonts w:eastAsiaTheme="minorEastAsia" w:cstheme="minorBidi"/>
          <w:sz w:val="24"/>
          <w:szCs w:val="24"/>
        </w:rPr>
      </w:pPr>
    </w:p>
    <w:p w14:paraId="3DC220A2" w14:textId="5C59572A" w:rsidR="00D376D2" w:rsidRPr="00C544A8" w:rsidRDefault="00D376D2" w:rsidP="65923C26">
      <w:pPr>
        <w:spacing w:before="240" w:after="120"/>
        <w:rPr>
          <w:rFonts w:eastAsiaTheme="minorEastAsia" w:cstheme="minorBidi"/>
          <w:b/>
          <w:bCs/>
          <w:sz w:val="24"/>
          <w:szCs w:val="24"/>
        </w:rPr>
      </w:pPr>
      <w:r w:rsidRPr="00C544A8">
        <w:rPr>
          <w:rFonts w:eastAsiaTheme="minorEastAsia" w:cstheme="minorBidi"/>
          <w:b/>
          <w:bCs/>
          <w:color w:val="4472C4" w:themeColor="accent5"/>
          <w:w w:val="105"/>
          <w:sz w:val="24"/>
          <w:szCs w:val="24"/>
        </w:rPr>
        <w:t>Evaluation and Due Dates</w:t>
      </w:r>
    </w:p>
    <w:p w14:paraId="26613B27" w14:textId="600EE88D" w:rsidR="00D376D2" w:rsidRPr="00C544A8" w:rsidRDefault="00D376D2" w:rsidP="65923C26">
      <w:pPr>
        <w:pStyle w:val="Heading2"/>
        <w:spacing w:before="120" w:after="120"/>
        <w:ind w:left="0"/>
        <w:rPr>
          <w:rFonts w:eastAsiaTheme="minorEastAsia" w:cstheme="minorBidi"/>
          <w:b w:val="0"/>
          <w:bCs w:val="0"/>
        </w:rPr>
      </w:pPr>
      <w:r w:rsidRPr="00C544A8">
        <w:rPr>
          <w:rFonts w:eastAsiaTheme="minorEastAsia" w:cstheme="minorBidi"/>
          <w:w w:val="105"/>
        </w:rPr>
        <w:t>Evaluation Methods</w:t>
      </w:r>
    </w:p>
    <w:p w14:paraId="691CB85C" w14:textId="07E7DE78" w:rsidR="00D376D2" w:rsidRPr="00C544A8" w:rsidRDefault="00D376D2" w:rsidP="00C544A8">
      <w:pPr>
        <w:rPr>
          <w:w w:val="105"/>
        </w:rPr>
      </w:pPr>
      <w:r w:rsidRPr="00C544A8">
        <w:rPr>
          <w:w w:val="105"/>
        </w:rPr>
        <w:t>Students will be graded based on class attendance</w:t>
      </w:r>
      <w:r w:rsidR="00CC7CA2" w:rsidRPr="00C544A8">
        <w:rPr>
          <w:w w:val="105"/>
        </w:rPr>
        <w:t>/</w:t>
      </w:r>
      <w:r w:rsidRPr="00C544A8">
        <w:rPr>
          <w:w w:val="105"/>
        </w:rPr>
        <w:t xml:space="preserve">participation, </w:t>
      </w:r>
      <w:r w:rsidR="00CC7CA2" w:rsidRPr="00C544A8">
        <w:rPr>
          <w:w w:val="105"/>
        </w:rPr>
        <w:t xml:space="preserve">class assignments, </w:t>
      </w:r>
      <w:r w:rsidRPr="00C544A8">
        <w:rPr>
          <w:w w:val="105"/>
        </w:rPr>
        <w:t xml:space="preserve">a midterm </w:t>
      </w:r>
      <w:r w:rsidR="00CC7CA2" w:rsidRPr="00C544A8">
        <w:rPr>
          <w:w w:val="105"/>
        </w:rPr>
        <w:t xml:space="preserve">exam, </w:t>
      </w:r>
      <w:r w:rsidRPr="00C544A8">
        <w:rPr>
          <w:w w:val="105"/>
        </w:rPr>
        <w:t xml:space="preserve">and </w:t>
      </w:r>
      <w:r w:rsidR="00CC7CA2" w:rsidRPr="00C544A8">
        <w:rPr>
          <w:w w:val="105"/>
        </w:rPr>
        <w:t xml:space="preserve">a </w:t>
      </w:r>
      <w:r w:rsidRPr="00C544A8">
        <w:rPr>
          <w:w w:val="105"/>
        </w:rPr>
        <w:t>final exam.</w:t>
      </w:r>
    </w:p>
    <w:p w14:paraId="654E60FB" w14:textId="77777777" w:rsidR="00C544A8" w:rsidRPr="00C544A8" w:rsidRDefault="00C544A8" w:rsidP="00C544A8">
      <w:pPr>
        <w:rPr>
          <w:b/>
          <w:bCs/>
          <w:color w:val="404040" w:themeColor="text1" w:themeTint="BF"/>
        </w:rPr>
      </w:pPr>
    </w:p>
    <w:tbl>
      <w:tblPr>
        <w:tblW w:w="0" w:type="auto"/>
        <w:tblLayout w:type="fixed"/>
        <w:tblLook w:val="0000" w:firstRow="0" w:lastRow="0" w:firstColumn="0" w:lastColumn="0" w:noHBand="0" w:noVBand="0"/>
      </w:tblPr>
      <w:tblGrid>
        <w:gridCol w:w="1440"/>
        <w:gridCol w:w="6860"/>
        <w:gridCol w:w="1060"/>
      </w:tblGrid>
      <w:tr w:rsidR="691CB85C" w:rsidRPr="00C544A8" w14:paraId="35DDAFFA" w14:textId="77777777" w:rsidTr="691CB85C">
        <w:tc>
          <w:tcPr>
            <w:tcW w:w="1440" w:type="dxa"/>
            <w:tcBorders>
              <w:top w:val="single" w:sz="6" w:space="0" w:color="auto"/>
              <w:left w:val="single" w:sz="6" w:space="0" w:color="auto"/>
              <w:bottom w:val="single" w:sz="6" w:space="0" w:color="auto"/>
              <w:right w:val="single" w:sz="6" w:space="0" w:color="auto"/>
            </w:tcBorders>
            <w:vAlign w:val="center"/>
          </w:tcPr>
          <w:p w14:paraId="464A0349" w14:textId="5A0BD0DA" w:rsidR="691CB85C" w:rsidRPr="00C544A8" w:rsidRDefault="691CB85C" w:rsidP="691CB85C">
            <w:pPr>
              <w:spacing w:before="60" w:after="60"/>
              <w:jc w:val="center"/>
              <w:rPr>
                <w:rFonts w:eastAsiaTheme="minorEastAsia" w:cstheme="minorBidi"/>
                <w:b/>
                <w:bCs/>
                <w:color w:val="000000" w:themeColor="text1"/>
                <w:sz w:val="24"/>
                <w:szCs w:val="24"/>
              </w:rPr>
            </w:pPr>
            <w:r w:rsidRPr="00C544A8">
              <w:rPr>
                <w:rFonts w:eastAsiaTheme="minorEastAsia" w:cstheme="minorBidi"/>
                <w:b/>
                <w:bCs/>
                <w:color w:val="000000" w:themeColor="text1"/>
                <w:sz w:val="24"/>
                <w:szCs w:val="24"/>
              </w:rPr>
              <w:t>Due Date</w:t>
            </w:r>
          </w:p>
        </w:tc>
        <w:tc>
          <w:tcPr>
            <w:tcW w:w="6860" w:type="dxa"/>
            <w:tcBorders>
              <w:top w:val="single" w:sz="6" w:space="0" w:color="auto"/>
              <w:left w:val="single" w:sz="6" w:space="0" w:color="auto"/>
              <w:bottom w:val="single" w:sz="6" w:space="0" w:color="auto"/>
              <w:right w:val="single" w:sz="6" w:space="0" w:color="auto"/>
            </w:tcBorders>
            <w:vAlign w:val="center"/>
          </w:tcPr>
          <w:p w14:paraId="2231322C" w14:textId="59D765C2" w:rsidR="691CB85C" w:rsidRPr="00C544A8" w:rsidRDefault="691CB85C" w:rsidP="691CB85C">
            <w:pPr>
              <w:spacing w:before="60" w:after="60"/>
              <w:jc w:val="center"/>
              <w:rPr>
                <w:rFonts w:eastAsiaTheme="minorEastAsia" w:cstheme="minorBidi"/>
                <w:b/>
                <w:bCs/>
                <w:color w:val="000000" w:themeColor="text1"/>
                <w:sz w:val="24"/>
                <w:szCs w:val="24"/>
              </w:rPr>
            </w:pPr>
            <w:r w:rsidRPr="00C544A8">
              <w:rPr>
                <w:rFonts w:eastAsiaTheme="minorEastAsia" w:cstheme="minorBidi"/>
                <w:b/>
                <w:bCs/>
                <w:color w:val="000000" w:themeColor="text1"/>
                <w:sz w:val="24"/>
                <w:szCs w:val="24"/>
              </w:rPr>
              <w:t>Assignment Title</w:t>
            </w:r>
          </w:p>
        </w:tc>
        <w:tc>
          <w:tcPr>
            <w:tcW w:w="1060" w:type="dxa"/>
            <w:tcBorders>
              <w:top w:val="single" w:sz="6" w:space="0" w:color="auto"/>
              <w:left w:val="single" w:sz="6" w:space="0" w:color="auto"/>
              <w:bottom w:val="single" w:sz="6" w:space="0" w:color="auto"/>
              <w:right w:val="single" w:sz="6" w:space="0" w:color="auto"/>
            </w:tcBorders>
            <w:vAlign w:val="center"/>
          </w:tcPr>
          <w:p w14:paraId="19CE3792" w14:textId="6E5AB348" w:rsidR="691CB85C" w:rsidRPr="00C544A8" w:rsidRDefault="691CB85C" w:rsidP="691CB85C">
            <w:pPr>
              <w:spacing w:before="60" w:after="60"/>
              <w:jc w:val="center"/>
              <w:rPr>
                <w:rFonts w:eastAsiaTheme="minorEastAsia" w:cstheme="minorBidi"/>
                <w:b/>
                <w:bCs/>
                <w:color w:val="000000" w:themeColor="text1"/>
                <w:sz w:val="24"/>
                <w:szCs w:val="24"/>
              </w:rPr>
            </w:pPr>
            <w:r w:rsidRPr="00C544A8">
              <w:rPr>
                <w:rFonts w:eastAsiaTheme="minorEastAsia" w:cstheme="minorBidi"/>
                <w:b/>
                <w:bCs/>
                <w:color w:val="000000" w:themeColor="text1"/>
                <w:sz w:val="24"/>
                <w:szCs w:val="24"/>
              </w:rPr>
              <w:t>% of Grade</w:t>
            </w:r>
          </w:p>
        </w:tc>
      </w:tr>
      <w:tr w:rsidR="691CB85C" w:rsidRPr="00C544A8" w14:paraId="7C8623D8" w14:textId="77777777" w:rsidTr="691CB85C">
        <w:tc>
          <w:tcPr>
            <w:tcW w:w="1440" w:type="dxa"/>
            <w:tcBorders>
              <w:top w:val="single" w:sz="6" w:space="0" w:color="auto"/>
              <w:left w:val="single" w:sz="6" w:space="0" w:color="auto"/>
              <w:bottom w:val="single" w:sz="6" w:space="0" w:color="auto"/>
              <w:right w:val="single" w:sz="6" w:space="0" w:color="auto"/>
            </w:tcBorders>
          </w:tcPr>
          <w:p w14:paraId="616C5E78" w14:textId="612108CF"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2/2/2023</w:t>
            </w:r>
          </w:p>
        </w:tc>
        <w:tc>
          <w:tcPr>
            <w:tcW w:w="6860" w:type="dxa"/>
            <w:tcBorders>
              <w:top w:val="single" w:sz="6" w:space="0" w:color="auto"/>
              <w:left w:val="single" w:sz="6" w:space="0" w:color="auto"/>
              <w:bottom w:val="single" w:sz="6" w:space="0" w:color="auto"/>
              <w:right w:val="single" w:sz="6" w:space="0" w:color="auto"/>
            </w:tcBorders>
          </w:tcPr>
          <w:p w14:paraId="08EDE8D7" w14:textId="5FABA1D8"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Label Section Overview</w:t>
            </w:r>
          </w:p>
          <w:p w14:paraId="3DAEC85C" w14:textId="6B6476BE"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Short presentation</w:t>
            </w:r>
          </w:p>
        </w:tc>
        <w:tc>
          <w:tcPr>
            <w:tcW w:w="1060" w:type="dxa"/>
            <w:tcBorders>
              <w:top w:val="single" w:sz="6" w:space="0" w:color="auto"/>
              <w:left w:val="single" w:sz="6" w:space="0" w:color="auto"/>
              <w:bottom w:val="single" w:sz="6" w:space="0" w:color="auto"/>
              <w:right w:val="single" w:sz="6" w:space="0" w:color="auto"/>
            </w:tcBorders>
            <w:vAlign w:val="center"/>
          </w:tcPr>
          <w:p w14:paraId="03D3CDE9" w14:textId="59FD6D44"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10</w:t>
            </w:r>
          </w:p>
        </w:tc>
      </w:tr>
      <w:tr w:rsidR="691CB85C" w:rsidRPr="00C544A8" w14:paraId="7AB57667" w14:textId="77777777" w:rsidTr="691CB85C">
        <w:tc>
          <w:tcPr>
            <w:tcW w:w="1440" w:type="dxa"/>
            <w:tcBorders>
              <w:top w:val="single" w:sz="6" w:space="0" w:color="auto"/>
              <w:left w:val="single" w:sz="6" w:space="0" w:color="auto"/>
              <w:bottom w:val="single" w:sz="6" w:space="0" w:color="auto"/>
              <w:right w:val="single" w:sz="6" w:space="0" w:color="auto"/>
            </w:tcBorders>
          </w:tcPr>
          <w:p w14:paraId="7ABFA638" w14:textId="60317FBE"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2/9/2023</w:t>
            </w:r>
          </w:p>
        </w:tc>
        <w:tc>
          <w:tcPr>
            <w:tcW w:w="6860" w:type="dxa"/>
            <w:tcBorders>
              <w:top w:val="single" w:sz="6" w:space="0" w:color="auto"/>
              <w:left w:val="single" w:sz="6" w:space="0" w:color="auto"/>
              <w:bottom w:val="single" w:sz="6" w:space="0" w:color="auto"/>
              <w:right w:val="single" w:sz="6" w:space="0" w:color="auto"/>
            </w:tcBorders>
          </w:tcPr>
          <w:p w14:paraId="34C2E9CF" w14:textId="6E4F62DA"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Accelerated Approval – Pros and Cons</w:t>
            </w:r>
          </w:p>
          <w:p w14:paraId="3F7E5803" w14:textId="6E775499"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 xml:space="preserve">In class informal debate </w:t>
            </w:r>
          </w:p>
        </w:tc>
        <w:tc>
          <w:tcPr>
            <w:tcW w:w="1060" w:type="dxa"/>
            <w:tcBorders>
              <w:top w:val="single" w:sz="6" w:space="0" w:color="auto"/>
              <w:left w:val="single" w:sz="6" w:space="0" w:color="auto"/>
              <w:bottom w:val="single" w:sz="6" w:space="0" w:color="auto"/>
              <w:right w:val="single" w:sz="6" w:space="0" w:color="auto"/>
            </w:tcBorders>
            <w:vAlign w:val="center"/>
          </w:tcPr>
          <w:p w14:paraId="0C5AD1AC" w14:textId="6DC3275A"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5</w:t>
            </w:r>
          </w:p>
        </w:tc>
      </w:tr>
      <w:tr w:rsidR="691CB85C" w:rsidRPr="00C544A8" w14:paraId="692B8BDE" w14:textId="77777777" w:rsidTr="691CB85C">
        <w:tc>
          <w:tcPr>
            <w:tcW w:w="1440" w:type="dxa"/>
            <w:tcBorders>
              <w:top w:val="single" w:sz="6" w:space="0" w:color="auto"/>
              <w:left w:val="single" w:sz="6" w:space="0" w:color="auto"/>
              <w:bottom w:val="single" w:sz="6" w:space="0" w:color="auto"/>
              <w:right w:val="single" w:sz="6" w:space="0" w:color="auto"/>
            </w:tcBorders>
          </w:tcPr>
          <w:p w14:paraId="7CCD2BBC" w14:textId="4CC90468"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2/23/2023</w:t>
            </w:r>
          </w:p>
        </w:tc>
        <w:tc>
          <w:tcPr>
            <w:tcW w:w="6860" w:type="dxa"/>
            <w:tcBorders>
              <w:top w:val="single" w:sz="6" w:space="0" w:color="auto"/>
              <w:left w:val="single" w:sz="6" w:space="0" w:color="auto"/>
              <w:bottom w:val="single" w:sz="6" w:space="0" w:color="auto"/>
              <w:right w:val="single" w:sz="6" w:space="0" w:color="auto"/>
            </w:tcBorders>
          </w:tcPr>
          <w:p w14:paraId="3C176DCD" w14:textId="6D110237"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Risk Evaluation and Mitigation Strategy (REMS) Overview</w:t>
            </w:r>
          </w:p>
          <w:p w14:paraId="57B6427C" w14:textId="01246492"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Short presentation</w:t>
            </w:r>
          </w:p>
        </w:tc>
        <w:tc>
          <w:tcPr>
            <w:tcW w:w="1060" w:type="dxa"/>
            <w:tcBorders>
              <w:top w:val="single" w:sz="6" w:space="0" w:color="auto"/>
              <w:left w:val="single" w:sz="6" w:space="0" w:color="auto"/>
              <w:bottom w:val="single" w:sz="6" w:space="0" w:color="auto"/>
              <w:right w:val="single" w:sz="6" w:space="0" w:color="auto"/>
            </w:tcBorders>
            <w:vAlign w:val="center"/>
          </w:tcPr>
          <w:p w14:paraId="445E3ED6" w14:textId="4AA0448B"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10</w:t>
            </w:r>
          </w:p>
        </w:tc>
      </w:tr>
      <w:tr w:rsidR="691CB85C" w:rsidRPr="00C544A8" w14:paraId="4AA6FDB2" w14:textId="77777777" w:rsidTr="691CB85C">
        <w:tc>
          <w:tcPr>
            <w:tcW w:w="1440" w:type="dxa"/>
            <w:tcBorders>
              <w:top w:val="single" w:sz="6" w:space="0" w:color="auto"/>
              <w:left w:val="single" w:sz="6" w:space="0" w:color="auto"/>
              <w:bottom w:val="single" w:sz="6" w:space="0" w:color="auto"/>
              <w:right w:val="single" w:sz="6" w:space="0" w:color="auto"/>
            </w:tcBorders>
          </w:tcPr>
          <w:p w14:paraId="16A382F3" w14:textId="2B5F728C"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3/</w:t>
            </w:r>
            <w:r w:rsidR="00FF142E" w:rsidRPr="00C544A8">
              <w:rPr>
                <w:rFonts w:ascii="Trebuchet MS" w:eastAsiaTheme="minorEastAsia" w:hAnsi="Trebuchet MS" w:cstheme="minorBidi"/>
                <w:color w:val="000000" w:themeColor="text1"/>
                <w:sz w:val="24"/>
                <w:szCs w:val="24"/>
              </w:rPr>
              <w:t>16</w:t>
            </w:r>
            <w:r w:rsidRPr="00C544A8">
              <w:rPr>
                <w:rFonts w:ascii="Trebuchet MS" w:eastAsiaTheme="minorEastAsia" w:hAnsi="Trebuchet MS" w:cstheme="minorBidi"/>
                <w:color w:val="000000" w:themeColor="text1"/>
                <w:sz w:val="24"/>
                <w:szCs w:val="24"/>
              </w:rPr>
              <w:t>/2023</w:t>
            </w:r>
          </w:p>
        </w:tc>
        <w:tc>
          <w:tcPr>
            <w:tcW w:w="6860" w:type="dxa"/>
            <w:tcBorders>
              <w:top w:val="single" w:sz="6" w:space="0" w:color="auto"/>
              <w:left w:val="single" w:sz="6" w:space="0" w:color="auto"/>
              <w:bottom w:val="single" w:sz="6" w:space="0" w:color="auto"/>
              <w:right w:val="single" w:sz="6" w:space="0" w:color="auto"/>
            </w:tcBorders>
          </w:tcPr>
          <w:p w14:paraId="7DD22139" w14:textId="3DC91D1A"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Post-Marketing Safety Report Case Studies</w:t>
            </w:r>
          </w:p>
          <w:p w14:paraId="64EDF376" w14:textId="428DFF27"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Small group in-class activity</w:t>
            </w:r>
          </w:p>
        </w:tc>
        <w:tc>
          <w:tcPr>
            <w:tcW w:w="1060" w:type="dxa"/>
            <w:tcBorders>
              <w:top w:val="single" w:sz="6" w:space="0" w:color="auto"/>
              <w:left w:val="single" w:sz="6" w:space="0" w:color="auto"/>
              <w:bottom w:val="single" w:sz="6" w:space="0" w:color="auto"/>
              <w:right w:val="single" w:sz="6" w:space="0" w:color="auto"/>
            </w:tcBorders>
            <w:vAlign w:val="center"/>
          </w:tcPr>
          <w:p w14:paraId="2277E878" w14:textId="1A801924" w:rsidR="691CB85C" w:rsidRPr="00C544A8" w:rsidRDefault="691CB85C" w:rsidP="691CB85C">
            <w:pPr>
              <w:spacing w:before="60" w:after="60"/>
              <w:jc w:val="center"/>
              <w:rPr>
                <w:rFonts w:eastAsiaTheme="minorEastAsia" w:cstheme="minorBidi"/>
                <w:color w:val="000000" w:themeColor="text1"/>
                <w:sz w:val="24"/>
                <w:szCs w:val="24"/>
              </w:rPr>
            </w:pPr>
          </w:p>
          <w:p w14:paraId="79E29C77" w14:textId="65431820"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5</w:t>
            </w:r>
          </w:p>
        </w:tc>
      </w:tr>
      <w:tr w:rsidR="691CB85C" w:rsidRPr="00C544A8" w14:paraId="73E0A2A0" w14:textId="77777777" w:rsidTr="691CB85C">
        <w:tc>
          <w:tcPr>
            <w:tcW w:w="1440" w:type="dxa"/>
            <w:tcBorders>
              <w:top w:val="single" w:sz="6" w:space="0" w:color="auto"/>
              <w:left w:val="single" w:sz="6" w:space="0" w:color="auto"/>
              <w:bottom w:val="single" w:sz="6" w:space="0" w:color="auto"/>
              <w:right w:val="single" w:sz="6" w:space="0" w:color="auto"/>
            </w:tcBorders>
          </w:tcPr>
          <w:p w14:paraId="54F17F1F" w14:textId="2862512B"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3/23/2023</w:t>
            </w:r>
          </w:p>
        </w:tc>
        <w:tc>
          <w:tcPr>
            <w:tcW w:w="6860" w:type="dxa"/>
            <w:tcBorders>
              <w:top w:val="single" w:sz="6" w:space="0" w:color="auto"/>
              <w:left w:val="single" w:sz="6" w:space="0" w:color="auto"/>
              <w:bottom w:val="single" w:sz="6" w:space="0" w:color="auto"/>
              <w:right w:val="single" w:sz="6" w:space="0" w:color="auto"/>
            </w:tcBorders>
          </w:tcPr>
          <w:p w14:paraId="27B33001" w14:textId="4217890F"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Chemistry, Manufacturing, and Controls (CMC) – NDA Post-Approval Changes</w:t>
            </w:r>
          </w:p>
          <w:p w14:paraId="5F104854" w14:textId="1DB3D3B0"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Short writing assignment</w:t>
            </w:r>
          </w:p>
        </w:tc>
        <w:tc>
          <w:tcPr>
            <w:tcW w:w="1060" w:type="dxa"/>
            <w:tcBorders>
              <w:top w:val="single" w:sz="6" w:space="0" w:color="auto"/>
              <w:left w:val="single" w:sz="6" w:space="0" w:color="auto"/>
              <w:bottom w:val="single" w:sz="6" w:space="0" w:color="auto"/>
              <w:right w:val="single" w:sz="6" w:space="0" w:color="auto"/>
            </w:tcBorders>
            <w:vAlign w:val="center"/>
          </w:tcPr>
          <w:p w14:paraId="48B5DAD7" w14:textId="28BCFF61"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10</w:t>
            </w:r>
          </w:p>
        </w:tc>
      </w:tr>
      <w:tr w:rsidR="691CB85C" w:rsidRPr="00C544A8" w14:paraId="08A87064" w14:textId="77777777" w:rsidTr="691CB85C">
        <w:tc>
          <w:tcPr>
            <w:tcW w:w="1440" w:type="dxa"/>
            <w:tcBorders>
              <w:top w:val="single" w:sz="6" w:space="0" w:color="auto"/>
              <w:left w:val="single" w:sz="6" w:space="0" w:color="auto"/>
              <w:bottom w:val="single" w:sz="6" w:space="0" w:color="auto"/>
              <w:right w:val="single" w:sz="6" w:space="0" w:color="auto"/>
            </w:tcBorders>
          </w:tcPr>
          <w:p w14:paraId="51AD0AF8" w14:textId="332A79DF"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3/23/2023</w:t>
            </w:r>
          </w:p>
        </w:tc>
        <w:tc>
          <w:tcPr>
            <w:tcW w:w="6860" w:type="dxa"/>
            <w:tcBorders>
              <w:top w:val="single" w:sz="6" w:space="0" w:color="auto"/>
              <w:left w:val="single" w:sz="6" w:space="0" w:color="auto"/>
              <w:bottom w:val="single" w:sz="6" w:space="0" w:color="auto"/>
              <w:right w:val="single" w:sz="6" w:space="0" w:color="auto"/>
            </w:tcBorders>
          </w:tcPr>
          <w:p w14:paraId="79ED85C7" w14:textId="370D7874"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Quiz – Chemistry, Manufacturing, and Controls (CMC)</w:t>
            </w:r>
          </w:p>
        </w:tc>
        <w:tc>
          <w:tcPr>
            <w:tcW w:w="1060" w:type="dxa"/>
            <w:tcBorders>
              <w:top w:val="single" w:sz="6" w:space="0" w:color="auto"/>
              <w:left w:val="single" w:sz="6" w:space="0" w:color="auto"/>
              <w:bottom w:val="single" w:sz="6" w:space="0" w:color="auto"/>
              <w:right w:val="single" w:sz="6" w:space="0" w:color="auto"/>
            </w:tcBorders>
            <w:vAlign w:val="center"/>
          </w:tcPr>
          <w:p w14:paraId="2A296FF9" w14:textId="23917886"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5</w:t>
            </w:r>
          </w:p>
        </w:tc>
      </w:tr>
      <w:tr w:rsidR="691CB85C" w:rsidRPr="00C544A8" w14:paraId="0F874EEA" w14:textId="77777777" w:rsidTr="691CB85C">
        <w:tc>
          <w:tcPr>
            <w:tcW w:w="1440" w:type="dxa"/>
            <w:tcBorders>
              <w:top w:val="single" w:sz="6" w:space="0" w:color="auto"/>
              <w:left w:val="single" w:sz="6" w:space="0" w:color="auto"/>
              <w:bottom w:val="single" w:sz="6" w:space="0" w:color="auto"/>
              <w:right w:val="single" w:sz="6" w:space="0" w:color="auto"/>
            </w:tcBorders>
          </w:tcPr>
          <w:p w14:paraId="454AE5D8" w14:textId="29F961EE"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4/13/2023</w:t>
            </w:r>
          </w:p>
        </w:tc>
        <w:tc>
          <w:tcPr>
            <w:tcW w:w="6860" w:type="dxa"/>
            <w:tcBorders>
              <w:top w:val="single" w:sz="6" w:space="0" w:color="auto"/>
              <w:left w:val="single" w:sz="6" w:space="0" w:color="auto"/>
              <w:bottom w:val="single" w:sz="6" w:space="0" w:color="auto"/>
              <w:right w:val="single" w:sz="6" w:space="0" w:color="auto"/>
            </w:tcBorders>
          </w:tcPr>
          <w:p w14:paraId="30C967ED" w14:textId="360D8F01"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Advertising and Promotion – Untitled and Warning Letters</w:t>
            </w:r>
          </w:p>
          <w:p w14:paraId="73525255" w14:textId="70E4F32E" w:rsidR="691CB85C" w:rsidRPr="00C544A8" w:rsidRDefault="691CB85C" w:rsidP="691CB85C">
            <w:pPr>
              <w:rPr>
                <w:rFonts w:eastAsiaTheme="minorEastAsia" w:cstheme="minorBidi"/>
                <w:color w:val="000000" w:themeColor="text1"/>
                <w:sz w:val="24"/>
                <w:szCs w:val="24"/>
              </w:rPr>
            </w:pPr>
            <w:r w:rsidRPr="00C544A8">
              <w:rPr>
                <w:rFonts w:eastAsiaTheme="minorEastAsia" w:cstheme="minorBidi"/>
                <w:color w:val="000000" w:themeColor="text1"/>
                <w:sz w:val="24"/>
                <w:szCs w:val="24"/>
              </w:rPr>
              <w:t>Short discussion</w:t>
            </w:r>
          </w:p>
        </w:tc>
        <w:tc>
          <w:tcPr>
            <w:tcW w:w="1060" w:type="dxa"/>
            <w:tcBorders>
              <w:top w:val="single" w:sz="6" w:space="0" w:color="auto"/>
              <w:left w:val="single" w:sz="6" w:space="0" w:color="auto"/>
              <w:bottom w:val="single" w:sz="6" w:space="0" w:color="auto"/>
              <w:right w:val="single" w:sz="6" w:space="0" w:color="auto"/>
            </w:tcBorders>
            <w:vAlign w:val="center"/>
          </w:tcPr>
          <w:p w14:paraId="57E99FB7" w14:textId="103CC816"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5</w:t>
            </w:r>
          </w:p>
        </w:tc>
      </w:tr>
      <w:tr w:rsidR="691CB85C" w:rsidRPr="00C544A8" w14:paraId="0012610F" w14:textId="77777777" w:rsidTr="691CB85C">
        <w:tc>
          <w:tcPr>
            <w:tcW w:w="1440" w:type="dxa"/>
            <w:tcBorders>
              <w:top w:val="single" w:sz="6" w:space="0" w:color="auto"/>
              <w:left w:val="single" w:sz="6" w:space="0" w:color="auto"/>
              <w:bottom w:val="single" w:sz="6" w:space="0" w:color="auto"/>
              <w:right w:val="single" w:sz="6" w:space="0" w:color="auto"/>
            </w:tcBorders>
          </w:tcPr>
          <w:p w14:paraId="0DEE3D5E" w14:textId="25F88FCF"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4/27/2023</w:t>
            </w:r>
          </w:p>
        </w:tc>
        <w:tc>
          <w:tcPr>
            <w:tcW w:w="6860" w:type="dxa"/>
            <w:tcBorders>
              <w:top w:val="single" w:sz="6" w:space="0" w:color="auto"/>
              <w:left w:val="single" w:sz="6" w:space="0" w:color="auto"/>
              <w:bottom w:val="single" w:sz="6" w:space="0" w:color="auto"/>
              <w:right w:val="single" w:sz="6" w:space="0" w:color="auto"/>
            </w:tcBorders>
          </w:tcPr>
          <w:p w14:paraId="0D1EB5FB" w14:textId="50422E23" w:rsidR="691CB85C" w:rsidRPr="00C544A8" w:rsidRDefault="691CB85C" w:rsidP="691CB85C">
            <w:pPr>
              <w:rPr>
                <w:rFonts w:eastAsiaTheme="minorEastAsia" w:cstheme="minorBidi"/>
                <w:color w:val="000000" w:themeColor="text1"/>
                <w:sz w:val="24"/>
                <w:szCs w:val="24"/>
              </w:rPr>
            </w:pPr>
            <w:r w:rsidRPr="00C544A8">
              <w:rPr>
                <w:rFonts w:eastAsiaTheme="minorEastAsia" w:cstheme="minorBidi"/>
                <w:b/>
                <w:bCs/>
                <w:color w:val="000000" w:themeColor="text1"/>
                <w:sz w:val="24"/>
                <w:szCs w:val="24"/>
              </w:rPr>
              <w:t>Final Project</w:t>
            </w:r>
          </w:p>
        </w:tc>
        <w:tc>
          <w:tcPr>
            <w:tcW w:w="1060" w:type="dxa"/>
            <w:tcBorders>
              <w:top w:val="single" w:sz="6" w:space="0" w:color="auto"/>
              <w:left w:val="single" w:sz="6" w:space="0" w:color="auto"/>
              <w:bottom w:val="single" w:sz="6" w:space="0" w:color="auto"/>
              <w:right w:val="single" w:sz="6" w:space="0" w:color="auto"/>
            </w:tcBorders>
            <w:vAlign w:val="center"/>
          </w:tcPr>
          <w:p w14:paraId="20FD0A50" w14:textId="6FFE7826"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25</w:t>
            </w:r>
          </w:p>
        </w:tc>
      </w:tr>
      <w:tr w:rsidR="691CB85C" w:rsidRPr="00C544A8" w14:paraId="692772CD" w14:textId="77777777" w:rsidTr="691CB85C">
        <w:trPr>
          <w:trHeight w:val="540"/>
        </w:trPr>
        <w:tc>
          <w:tcPr>
            <w:tcW w:w="1440" w:type="dxa"/>
            <w:tcBorders>
              <w:top w:val="single" w:sz="6" w:space="0" w:color="auto"/>
              <w:left w:val="single" w:sz="6" w:space="0" w:color="auto"/>
              <w:bottom w:val="single" w:sz="6" w:space="0" w:color="auto"/>
              <w:right w:val="single" w:sz="6" w:space="0" w:color="auto"/>
            </w:tcBorders>
          </w:tcPr>
          <w:p w14:paraId="6A6B8B80" w14:textId="3C06B582"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Ongoing</w:t>
            </w:r>
          </w:p>
        </w:tc>
        <w:tc>
          <w:tcPr>
            <w:tcW w:w="6860" w:type="dxa"/>
            <w:tcBorders>
              <w:top w:val="single" w:sz="6" w:space="0" w:color="auto"/>
              <w:left w:val="single" w:sz="6" w:space="0" w:color="auto"/>
              <w:bottom w:val="single" w:sz="6" w:space="0" w:color="auto"/>
              <w:right w:val="single" w:sz="6" w:space="0" w:color="auto"/>
            </w:tcBorders>
          </w:tcPr>
          <w:p w14:paraId="5328D991" w14:textId="40234C08" w:rsidR="691CB85C" w:rsidRPr="00C544A8" w:rsidRDefault="691CB85C" w:rsidP="691CB85C">
            <w:pPr>
              <w:pStyle w:val="C-TableText"/>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b/>
                <w:bCs/>
                <w:color w:val="000000" w:themeColor="text1"/>
                <w:sz w:val="24"/>
                <w:szCs w:val="24"/>
              </w:rPr>
              <w:t>Class Participation</w:t>
            </w:r>
          </w:p>
        </w:tc>
        <w:tc>
          <w:tcPr>
            <w:tcW w:w="1060" w:type="dxa"/>
            <w:tcBorders>
              <w:top w:val="single" w:sz="6" w:space="0" w:color="auto"/>
              <w:left w:val="single" w:sz="6" w:space="0" w:color="auto"/>
              <w:bottom w:val="single" w:sz="6" w:space="0" w:color="auto"/>
              <w:right w:val="single" w:sz="6" w:space="0" w:color="auto"/>
            </w:tcBorders>
            <w:vAlign w:val="center"/>
          </w:tcPr>
          <w:p w14:paraId="75E71F10" w14:textId="7D9E3694" w:rsidR="691CB85C" w:rsidRPr="00C544A8" w:rsidRDefault="691CB85C" w:rsidP="691CB85C">
            <w:pPr>
              <w:pStyle w:val="C-TableText"/>
              <w:jc w:val="center"/>
              <w:rPr>
                <w:rFonts w:ascii="Trebuchet MS" w:eastAsiaTheme="minorEastAsia" w:hAnsi="Trebuchet MS" w:cstheme="minorBidi"/>
                <w:color w:val="000000" w:themeColor="text1"/>
                <w:sz w:val="24"/>
                <w:szCs w:val="24"/>
              </w:rPr>
            </w:pPr>
            <w:r w:rsidRPr="00C544A8">
              <w:rPr>
                <w:rFonts w:ascii="Trebuchet MS" w:eastAsiaTheme="minorEastAsia" w:hAnsi="Trebuchet MS" w:cstheme="minorBidi"/>
                <w:color w:val="000000" w:themeColor="text1"/>
                <w:sz w:val="24"/>
                <w:szCs w:val="24"/>
              </w:rPr>
              <w:t>25</w:t>
            </w:r>
          </w:p>
        </w:tc>
      </w:tr>
    </w:tbl>
    <w:p w14:paraId="43058E5C" w14:textId="4AF68506" w:rsidR="302EEA0B" w:rsidRPr="00C544A8" w:rsidRDefault="302EEA0B" w:rsidP="302EEA0B">
      <w:pPr>
        <w:spacing w:before="2"/>
        <w:rPr>
          <w:sz w:val="24"/>
          <w:szCs w:val="24"/>
        </w:rPr>
      </w:pPr>
    </w:p>
    <w:p w14:paraId="3C00DFD8" w14:textId="522B3EA4" w:rsidR="00D376D2" w:rsidRPr="00C544A8" w:rsidRDefault="00D376D2" w:rsidP="65923C26">
      <w:pPr>
        <w:spacing w:before="240" w:after="120"/>
        <w:rPr>
          <w:rFonts w:eastAsiaTheme="minorEastAsia" w:cstheme="minorBidi"/>
          <w:b/>
          <w:bCs/>
          <w:sz w:val="24"/>
          <w:szCs w:val="24"/>
        </w:rPr>
      </w:pPr>
      <w:r w:rsidRPr="00C544A8">
        <w:rPr>
          <w:rFonts w:eastAsiaTheme="minorEastAsia" w:cstheme="minorBidi"/>
          <w:b/>
          <w:bCs/>
          <w:color w:val="4472C4" w:themeColor="accent5"/>
          <w:w w:val="105"/>
          <w:sz w:val="24"/>
          <w:szCs w:val="24"/>
        </w:rPr>
        <w:t>Academic Policies</w:t>
      </w:r>
    </w:p>
    <w:p w14:paraId="089822BC" w14:textId="482611D4" w:rsidR="00D376D2" w:rsidRPr="00C544A8" w:rsidRDefault="00D376D2" w:rsidP="65923C26">
      <w:pPr>
        <w:pStyle w:val="Heading2"/>
        <w:spacing w:before="120" w:after="120"/>
        <w:ind w:left="0"/>
        <w:rPr>
          <w:rFonts w:eastAsiaTheme="minorEastAsia" w:cstheme="minorBidi"/>
          <w:b w:val="0"/>
          <w:bCs w:val="0"/>
        </w:rPr>
      </w:pPr>
      <w:r w:rsidRPr="00C544A8">
        <w:rPr>
          <w:rFonts w:eastAsiaTheme="minorEastAsia" w:cstheme="minorBidi"/>
          <w:w w:val="105"/>
        </w:rPr>
        <w:t>Attendance</w:t>
      </w:r>
    </w:p>
    <w:p w14:paraId="46CC05F5" w14:textId="0ECA4766" w:rsidR="00BB2124" w:rsidRPr="00C544A8" w:rsidRDefault="00BB2124" w:rsidP="00C544A8">
      <w:pPr>
        <w:rPr>
          <w:w w:val="105"/>
        </w:rPr>
      </w:pPr>
      <w:r w:rsidRPr="00C544A8">
        <w:rPr>
          <w:w w:val="105"/>
        </w:rPr>
        <w:t xml:space="preserve">Students are allowed 1 excused absence.  If you anticipate the need to be absent, please </w:t>
      </w:r>
      <w:r w:rsidRPr="00C544A8">
        <w:rPr>
          <w:w w:val="105"/>
        </w:rPr>
        <w:lastRenderedPageBreak/>
        <w:t>contact the course coordinator prior to your absence.  If you have other concerns about your ability to meet the attendance requirements, you must contact the course coordinator prior to your absence.</w:t>
      </w:r>
    </w:p>
    <w:p w14:paraId="0121C74F" w14:textId="77777777" w:rsidR="00C544A8" w:rsidRPr="00C544A8" w:rsidRDefault="00C544A8" w:rsidP="00C544A8">
      <w:pPr>
        <w:rPr>
          <w:w w:val="105"/>
        </w:rPr>
      </w:pPr>
    </w:p>
    <w:p w14:paraId="3555B54D" w14:textId="77777777" w:rsidR="00607F55" w:rsidRPr="00C544A8" w:rsidRDefault="00BB2124" w:rsidP="00C544A8">
      <w:pPr>
        <w:rPr>
          <w:w w:val="105"/>
        </w:rPr>
      </w:pPr>
      <w:r w:rsidRPr="00C544A8">
        <w:rPr>
          <w:w w:val="105"/>
        </w:rPr>
        <w:t xml:space="preserve">Students are expected to be on time to all classes and stay for the duration of the class. If you anticipate being late to class or may need to leave early please email the course coordinator and instructor in a timely manner to let them know of may be late or need to leave early. Any student who is more than 15 minutes late will be considered absent from that class. Additionally, any student who leaves early may be marked absent. Attendance also includes keeping video feed on during synchronous sessions. </w:t>
      </w:r>
    </w:p>
    <w:p w14:paraId="4F9FDF25" w14:textId="50331F1C" w:rsidR="00BB2124" w:rsidRPr="00C544A8" w:rsidRDefault="00BB2124" w:rsidP="65923C26">
      <w:pPr>
        <w:spacing w:before="120" w:after="120"/>
        <w:rPr>
          <w:rFonts w:eastAsiaTheme="minorEastAsia" w:cstheme="minorBidi"/>
          <w:color w:val="404040"/>
          <w:w w:val="105"/>
        </w:rPr>
      </w:pPr>
      <w:r w:rsidRPr="00C544A8">
        <w:rPr>
          <w:rFonts w:eastAsiaTheme="minorEastAsia" w:cstheme="minorBidi"/>
          <w:b/>
          <w:bCs/>
          <w:color w:val="404040"/>
          <w:w w:val="105"/>
          <w:sz w:val="24"/>
          <w:szCs w:val="24"/>
        </w:rPr>
        <w:t xml:space="preserve">Participation Expectations </w:t>
      </w:r>
    </w:p>
    <w:p w14:paraId="0B6E8F76" w14:textId="77777777" w:rsidR="00C544A8" w:rsidRPr="00C544A8" w:rsidRDefault="00BB2124" w:rsidP="00C544A8">
      <w:pPr>
        <w:rPr>
          <w:w w:val="105"/>
        </w:rPr>
      </w:pPr>
      <w:r w:rsidRPr="00C544A8">
        <w:rPr>
          <w:w w:val="105"/>
        </w:rPr>
        <w:t xml:space="preserve">Participation in class is crucial to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 </w:t>
      </w:r>
    </w:p>
    <w:p w14:paraId="409E2A51" w14:textId="77777777" w:rsidR="00C544A8" w:rsidRPr="00C544A8" w:rsidRDefault="00C544A8" w:rsidP="00C544A8">
      <w:pPr>
        <w:rPr>
          <w:w w:val="105"/>
        </w:rPr>
      </w:pPr>
    </w:p>
    <w:p w14:paraId="7F8AF60F" w14:textId="2B824BAE" w:rsidR="00BB2124" w:rsidRPr="00C544A8" w:rsidRDefault="00BB2124" w:rsidP="00C544A8">
      <w:pPr>
        <w:rPr>
          <w:w w:val="105"/>
        </w:rPr>
      </w:pPr>
      <w:r w:rsidRPr="00C544A8">
        <w:rPr>
          <w:w w:val="105"/>
        </w:rPr>
        <w:t>This program is committed to providing a supportive and productive learning environment for all.  Active participation requires professionalism and demonstration of respect for peers, course instructors, and guest lecturers.</w:t>
      </w:r>
    </w:p>
    <w:p w14:paraId="4BD259A3" w14:textId="4BA7CDB2" w:rsidR="00D376D2" w:rsidRPr="00C544A8" w:rsidRDefault="00D376D2" w:rsidP="65923C26">
      <w:pPr>
        <w:pStyle w:val="Heading2"/>
        <w:spacing w:before="120" w:after="120"/>
        <w:ind w:left="0"/>
        <w:rPr>
          <w:rFonts w:eastAsiaTheme="minorEastAsia" w:cstheme="minorBidi"/>
          <w:b w:val="0"/>
          <w:bCs w:val="0"/>
        </w:rPr>
      </w:pPr>
      <w:r w:rsidRPr="00C544A8">
        <w:rPr>
          <w:rFonts w:eastAsiaTheme="minorEastAsia" w:cstheme="minorBidi"/>
          <w:w w:val="105"/>
        </w:rPr>
        <w:t>Academic</w:t>
      </w:r>
      <w:r w:rsidRPr="00C544A8">
        <w:rPr>
          <w:rFonts w:eastAsiaTheme="minorEastAsia" w:cstheme="minorBidi"/>
          <w:color w:val="404040"/>
          <w:w w:val="105"/>
        </w:rPr>
        <w:t xml:space="preserve"> Integrity</w:t>
      </w:r>
    </w:p>
    <w:p w14:paraId="5FC59229" w14:textId="0F4142F2" w:rsidR="00D376D2" w:rsidRPr="00C544A8" w:rsidRDefault="00D376D2" w:rsidP="00C544A8">
      <w:pPr>
        <w:rPr>
          <w:w w:val="105"/>
        </w:rPr>
      </w:pPr>
      <w:r w:rsidRPr="00C544A8">
        <w:rPr>
          <w:w w:val="105"/>
        </w:rPr>
        <w:t xml:space="preserve">As a student at </w:t>
      </w:r>
      <w:r w:rsidR="00880620" w:rsidRPr="00C544A8">
        <w:rPr>
          <w:w w:val="105"/>
        </w:rPr>
        <w:t>t</w:t>
      </w:r>
      <w:r w:rsidRPr="00C544A8">
        <w:rPr>
          <w:w w:val="105"/>
        </w:rPr>
        <w:t xml:space="preserve">he University of Pennsylvania, you are required to uphold the Code of Academic Integrity. </w:t>
      </w:r>
      <w:r w:rsidR="00880620" w:rsidRPr="00C544A8">
        <w:rPr>
          <w:w w:val="105"/>
        </w:rPr>
        <w:t xml:space="preserve"> </w:t>
      </w:r>
      <w:r w:rsidRPr="00C544A8">
        <w:rPr>
          <w:w w:val="105"/>
        </w:rPr>
        <w:t>Specifically, materials that you submit either online or in person should be independent works created by you that uphold all tenets of academic integrity (e.</w:t>
      </w:r>
      <w:r w:rsidR="00880620" w:rsidRPr="00C544A8">
        <w:rPr>
          <w:w w:val="105"/>
        </w:rPr>
        <w:t>g.,</w:t>
      </w:r>
      <w:r w:rsidRPr="00C544A8">
        <w:rPr>
          <w:w w:val="105"/>
        </w:rPr>
        <w:t xml:space="preserve"> do not cheat, fabricate, or plagiarize, amongst others). </w:t>
      </w:r>
      <w:r w:rsidR="00880620" w:rsidRPr="00C544A8">
        <w:rPr>
          <w:w w:val="105"/>
        </w:rPr>
        <w:t xml:space="preserve"> </w:t>
      </w:r>
      <w:r w:rsidRPr="00C544A8">
        <w:rPr>
          <w:w w:val="105"/>
        </w:rPr>
        <w:t xml:space="preserve">We encourage you to reach out to the course director or coordinator if you are not clear on what </w:t>
      </w:r>
      <w:r w:rsidR="00880620" w:rsidRPr="00C544A8">
        <w:rPr>
          <w:w w:val="105"/>
        </w:rPr>
        <w:t xml:space="preserve">constitutes a </w:t>
      </w:r>
      <w:r w:rsidRPr="00C544A8">
        <w:rPr>
          <w:w w:val="105"/>
        </w:rPr>
        <w:t>potential violation.</w:t>
      </w:r>
    </w:p>
    <w:p w14:paraId="4455D04C" w14:textId="77777777" w:rsidR="00D376D2" w:rsidRPr="00C544A8" w:rsidRDefault="00D376D2" w:rsidP="65923C26">
      <w:pPr>
        <w:pStyle w:val="Heading2"/>
        <w:spacing w:before="120" w:after="120"/>
        <w:ind w:left="0"/>
        <w:rPr>
          <w:rFonts w:eastAsiaTheme="minorEastAsia" w:cstheme="minorBidi"/>
          <w:b w:val="0"/>
          <w:bCs w:val="0"/>
        </w:rPr>
      </w:pPr>
      <w:r w:rsidRPr="00C544A8">
        <w:rPr>
          <w:rFonts w:eastAsiaTheme="minorEastAsia" w:cstheme="minorBidi"/>
          <w:color w:val="404040"/>
          <w:w w:val="105"/>
        </w:rPr>
        <w:t>Course Management:</w:t>
      </w:r>
      <w:r w:rsidRPr="00C544A8">
        <w:rPr>
          <w:rFonts w:eastAsiaTheme="minorEastAsia" w:cstheme="minorBidi"/>
          <w:color w:val="404040"/>
          <w:spacing w:val="-9"/>
          <w:w w:val="105"/>
        </w:rPr>
        <w:t xml:space="preserve"> </w:t>
      </w:r>
      <w:r w:rsidRPr="00C544A8">
        <w:rPr>
          <w:rFonts w:eastAsiaTheme="minorEastAsia" w:cstheme="minorBidi"/>
          <w:color w:val="404040"/>
          <w:w w:val="105"/>
        </w:rPr>
        <w:t>Canvas</w:t>
      </w:r>
    </w:p>
    <w:p w14:paraId="3D2875D6" w14:textId="44C9FFFE" w:rsidR="00500B00" w:rsidRPr="00C544A8" w:rsidRDefault="00D376D2" w:rsidP="00C544A8">
      <w:pPr>
        <w:rPr>
          <w:rFonts w:cstheme="minorBidi"/>
          <w:color w:val="549CCC"/>
          <w:w w:val="105"/>
          <w:u w:val="single" w:color="549CCC"/>
        </w:rPr>
      </w:pPr>
      <w:r w:rsidRPr="00C544A8">
        <w:rPr>
          <w:rFonts w:cstheme="minorBidi"/>
          <w:w w:val="105"/>
        </w:rPr>
        <w:t xml:space="preserve">All course materials </w:t>
      </w:r>
      <w:r w:rsidRPr="00C544A8">
        <w:rPr>
          <w:w w:val="105"/>
        </w:rPr>
        <w:t xml:space="preserve">and assignments will be managed on Canvas. </w:t>
      </w:r>
      <w:r w:rsidR="00880620" w:rsidRPr="00C544A8">
        <w:rPr>
          <w:w w:val="105"/>
        </w:rPr>
        <w:t xml:space="preserve"> </w:t>
      </w:r>
      <w:r w:rsidRPr="00C544A8">
        <w:rPr>
          <w:w w:val="105"/>
        </w:rPr>
        <w:t>Log in with Pennkey and password at</w:t>
      </w:r>
      <w:r w:rsidRPr="00C544A8">
        <w:rPr>
          <w:spacing w:val="1"/>
          <w:w w:val="105"/>
        </w:rPr>
        <w:t xml:space="preserve"> </w:t>
      </w:r>
      <w:hyperlink r:id="rId8" w:history="1">
        <w:r w:rsidR="00500B00" w:rsidRPr="00C544A8">
          <w:rPr>
            <w:rStyle w:val="Hyperlink"/>
            <w:rFonts w:cstheme="minorHAnsi"/>
            <w:w w:val="105"/>
            <w:sz w:val="24"/>
            <w:szCs w:val="24"/>
          </w:rPr>
          <w:t>https://canvas.upenn.edu</w:t>
        </w:r>
      </w:hyperlink>
      <w:r w:rsidRPr="00C544A8">
        <w:rPr>
          <w:color w:val="549CCC"/>
          <w:w w:val="105"/>
          <w:u w:val="single" w:color="549CCC"/>
        </w:rPr>
        <w:t>.</w:t>
      </w:r>
    </w:p>
    <w:p w14:paraId="5D1E5E8E" w14:textId="77777777" w:rsidR="00500B00" w:rsidRPr="00C544A8" w:rsidRDefault="65923C26" w:rsidP="65923C26">
      <w:pPr>
        <w:spacing w:before="120" w:after="120"/>
        <w:rPr>
          <w:rFonts w:eastAsiaTheme="minorEastAsia" w:cstheme="minorBidi"/>
          <w:b/>
          <w:bCs/>
          <w:sz w:val="24"/>
          <w:szCs w:val="24"/>
        </w:rPr>
      </w:pPr>
      <w:r w:rsidRPr="00C544A8">
        <w:rPr>
          <w:rFonts w:eastAsiaTheme="minorEastAsia" w:cstheme="minorBidi"/>
          <w:b/>
          <w:bCs/>
          <w:sz w:val="24"/>
          <w:szCs w:val="24"/>
        </w:rPr>
        <w:t>Course Evaluations:</w:t>
      </w:r>
    </w:p>
    <w:p w14:paraId="68BC354B" w14:textId="1755772F" w:rsidR="00500B00" w:rsidRPr="00C544A8" w:rsidRDefault="65923C26" w:rsidP="00C544A8">
      <w:r w:rsidRPr="00C544A8">
        <w:t>Course evaluations are completed in the BLUE system. These are a required part of course participation. An email from the BLUE team will be sent to students with a link and directions on how to complete the course evaluation(s).</w:t>
      </w:r>
    </w:p>
    <w:p w14:paraId="70B13650" w14:textId="77777777" w:rsidR="00D376D2" w:rsidRPr="00C544A8" w:rsidRDefault="00D376D2" w:rsidP="65923C26">
      <w:pPr>
        <w:pStyle w:val="Heading2"/>
        <w:spacing w:before="120" w:after="120"/>
        <w:ind w:left="0"/>
        <w:rPr>
          <w:rFonts w:eastAsiaTheme="minorEastAsia" w:cstheme="minorBidi"/>
          <w:b w:val="0"/>
          <w:bCs w:val="0"/>
        </w:rPr>
      </w:pPr>
      <w:r w:rsidRPr="00C544A8">
        <w:rPr>
          <w:rFonts w:eastAsiaTheme="minorEastAsia" w:cstheme="minorBidi"/>
          <w:color w:val="404040"/>
          <w:w w:val="105"/>
        </w:rPr>
        <w:t>Student Disabilities Services</w:t>
      </w:r>
    </w:p>
    <w:p w14:paraId="61C2BE93" w14:textId="77777777" w:rsidR="00C544A8" w:rsidRPr="00C544A8" w:rsidRDefault="00C544A8" w:rsidP="00C544A8">
      <w:pPr>
        <w:rPr>
          <w:b/>
          <w:bCs/>
          <w:w w:val="105"/>
        </w:rPr>
      </w:pPr>
      <w:r w:rsidRPr="00C544A8">
        <w:rPr>
          <w:w w:val="105"/>
        </w:rPr>
        <w:t xml:space="preserve">The University of Pennsylvania provides reasonable accommodations to students with disabilities who have self-identified and been approved by the office of Student Disabilities Services (SDS). Please make an appointment to meet with me and the course coordinator as soon as possible in order to discuss your accommodations and your needs. If you have not yet contacted SDS, and would like to request accommodations or have questions, you can make an appointment by calling SDS at 215-573-9235 or accessing the </w:t>
      </w:r>
      <w:hyperlink r:id="rId9" w:history="1">
        <w:r w:rsidRPr="00C544A8">
          <w:rPr>
            <w:rStyle w:val="Hyperlink"/>
            <w:rFonts w:eastAsiaTheme="minorEastAsia" w:cstheme="minorBidi"/>
            <w:w w:val="105"/>
          </w:rPr>
          <w:t>MyWeingartenCenter portal</w:t>
        </w:r>
      </w:hyperlink>
      <w:r w:rsidRPr="00C544A8">
        <w:rPr>
          <w:w w:val="105"/>
        </w:rPr>
        <w:t xml:space="preserve">. The office is located in the Weingarten Learning Resources Center at Hamilton Village, 220 S 40th St Suite 260. All services are confidential. </w:t>
      </w:r>
    </w:p>
    <w:p w14:paraId="144ED2A7" w14:textId="2B406DD8" w:rsidR="00D376D2" w:rsidRPr="00C544A8" w:rsidRDefault="65923C26" w:rsidP="65923C26">
      <w:pPr>
        <w:pStyle w:val="Heading2"/>
        <w:keepNext/>
        <w:widowControl/>
        <w:spacing w:before="120" w:after="120"/>
        <w:ind w:left="0"/>
        <w:rPr>
          <w:rFonts w:eastAsiaTheme="minorEastAsia" w:cstheme="minorBidi"/>
        </w:rPr>
      </w:pPr>
      <w:r w:rsidRPr="00C544A8">
        <w:rPr>
          <w:rFonts w:eastAsiaTheme="minorEastAsia" w:cstheme="minorBidi"/>
          <w:color w:val="262626" w:themeColor="text1" w:themeTint="D9"/>
        </w:rPr>
        <w:lastRenderedPageBreak/>
        <w:t>Course Schedule</w:t>
      </w:r>
    </w:p>
    <w:tbl>
      <w:tblPr>
        <w:tblStyle w:val="SyllabusTable-withBorders"/>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255"/>
        <w:gridCol w:w="5504"/>
        <w:gridCol w:w="2776"/>
      </w:tblGrid>
      <w:tr w:rsidR="00274721" w:rsidRPr="00C544A8" w14:paraId="721E2E34" w14:textId="03B1ADC3" w:rsidTr="00BB36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left w:val="single" w:sz="4" w:space="0" w:color="auto"/>
              <w:bottom w:val="single" w:sz="4" w:space="0" w:color="auto"/>
              <w:right w:val="single" w:sz="4" w:space="0" w:color="auto"/>
            </w:tcBorders>
            <w:vAlign w:val="center"/>
          </w:tcPr>
          <w:p w14:paraId="61FC74DD" w14:textId="15C85E5E" w:rsidR="00DA3600" w:rsidRPr="00C544A8" w:rsidRDefault="65923C26" w:rsidP="65923C26">
            <w:pPr>
              <w:spacing w:before="40" w:after="40"/>
              <w:rPr>
                <w:rFonts w:eastAsiaTheme="minorEastAsia" w:cstheme="minorBidi"/>
                <w:color w:val="C00000"/>
                <w:sz w:val="22"/>
                <w:szCs w:val="22"/>
              </w:rPr>
            </w:pPr>
            <w:r w:rsidRPr="00C544A8">
              <w:rPr>
                <w:rFonts w:eastAsiaTheme="minorEastAsia" w:cstheme="minorBidi"/>
                <w:color w:val="4472C4" w:themeColor="accent5"/>
                <w:sz w:val="22"/>
                <w:szCs w:val="22"/>
              </w:rPr>
              <w:t>2023 Schedule</w:t>
            </w:r>
          </w:p>
        </w:tc>
        <w:tc>
          <w:tcPr>
            <w:tcW w:w="5504" w:type="dxa"/>
            <w:tcBorders>
              <w:top w:val="single" w:sz="4" w:space="0" w:color="auto"/>
              <w:left w:val="single" w:sz="4" w:space="0" w:color="auto"/>
              <w:bottom w:val="single" w:sz="4" w:space="0" w:color="auto"/>
              <w:right w:val="single" w:sz="4" w:space="0" w:color="auto"/>
            </w:tcBorders>
            <w:vAlign w:val="center"/>
          </w:tcPr>
          <w:p w14:paraId="2D1C2019" w14:textId="77777777" w:rsidR="00DA3600" w:rsidRPr="00C544A8" w:rsidRDefault="65923C26" w:rsidP="65923C26">
            <w:pPr>
              <w:spacing w:before="40" w:after="40"/>
              <w:cnfStyle w:val="100000000000" w:firstRow="1" w:lastRow="0" w:firstColumn="0" w:lastColumn="0" w:oddVBand="0" w:evenVBand="0" w:oddHBand="0" w:evenHBand="0" w:firstRowFirstColumn="0" w:firstRowLastColumn="0" w:lastRowFirstColumn="0" w:lastRowLastColumn="0"/>
              <w:rPr>
                <w:rFonts w:eastAsiaTheme="minorEastAsia" w:cstheme="minorBidi"/>
                <w:color w:val="C00000"/>
                <w:sz w:val="22"/>
                <w:szCs w:val="22"/>
              </w:rPr>
            </w:pPr>
            <w:r w:rsidRPr="00C544A8">
              <w:rPr>
                <w:rFonts w:eastAsiaTheme="minorEastAsia" w:cstheme="minorBidi"/>
                <w:color w:val="4472C4" w:themeColor="accent5"/>
                <w:sz w:val="22"/>
                <w:szCs w:val="22"/>
              </w:rPr>
              <w:t>Topic</w:t>
            </w:r>
          </w:p>
        </w:tc>
        <w:tc>
          <w:tcPr>
            <w:tcW w:w="2776" w:type="dxa"/>
            <w:tcBorders>
              <w:top w:val="single" w:sz="4" w:space="0" w:color="auto"/>
              <w:left w:val="single" w:sz="4" w:space="0" w:color="auto"/>
              <w:bottom w:val="single" w:sz="4" w:space="0" w:color="auto"/>
              <w:right w:val="single" w:sz="4" w:space="0" w:color="auto"/>
            </w:tcBorders>
            <w:vAlign w:val="center"/>
          </w:tcPr>
          <w:p w14:paraId="5263BF78" w14:textId="04AB27D5" w:rsidR="00DA3600" w:rsidRPr="00C544A8" w:rsidRDefault="65923C26" w:rsidP="65923C26">
            <w:pPr>
              <w:spacing w:before="40" w:after="40"/>
              <w:cnfStyle w:val="100000000000" w:firstRow="1" w:lastRow="0" w:firstColumn="0" w:lastColumn="0" w:oddVBand="0" w:evenVBand="0" w:oddHBand="0" w:evenHBand="0" w:firstRowFirstColumn="0" w:firstRowLastColumn="0" w:lastRowFirstColumn="0" w:lastRowLastColumn="0"/>
              <w:rPr>
                <w:rFonts w:eastAsiaTheme="minorEastAsia" w:cstheme="minorBidi"/>
                <w:color w:val="4472C4" w:themeColor="accent5"/>
                <w:sz w:val="22"/>
                <w:szCs w:val="22"/>
              </w:rPr>
            </w:pPr>
            <w:r w:rsidRPr="00C544A8">
              <w:rPr>
                <w:rFonts w:eastAsiaTheme="minorEastAsia" w:cstheme="minorBidi"/>
                <w:color w:val="4471C4"/>
                <w:sz w:val="22"/>
                <w:szCs w:val="22"/>
              </w:rPr>
              <w:t>Assignment Due</w:t>
            </w:r>
          </w:p>
        </w:tc>
      </w:tr>
      <w:tr w:rsidR="00274721" w:rsidRPr="00C544A8" w14:paraId="24419854" w14:textId="57B5502F" w:rsidTr="00BB36ED">
        <w:trPr>
          <w:cantSplit/>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tcPr>
          <w:p w14:paraId="36E4BB75" w14:textId="180D7D7F" w:rsidR="00120288" w:rsidRPr="00C544A8" w:rsidRDefault="65923C26" w:rsidP="65923C26">
            <w:pPr>
              <w:spacing w:before="40" w:after="40"/>
              <w:rPr>
                <w:rFonts w:eastAsiaTheme="minorEastAsia" w:cstheme="minorBidi"/>
                <w:b w:val="0"/>
                <w:color w:val="auto"/>
                <w:sz w:val="22"/>
                <w:szCs w:val="22"/>
              </w:rPr>
            </w:pPr>
            <w:r w:rsidRPr="00C544A8">
              <w:rPr>
                <w:rFonts w:eastAsiaTheme="minorEastAsia" w:cstheme="minorBidi"/>
                <w:b w:val="0"/>
                <w:sz w:val="22"/>
                <w:szCs w:val="22"/>
              </w:rPr>
              <w:t>Jan 19</w:t>
            </w:r>
            <w:r w:rsidR="00120288"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1 </w:t>
            </w:r>
          </w:p>
        </w:tc>
        <w:tc>
          <w:tcPr>
            <w:tcW w:w="5504" w:type="dxa"/>
            <w:tcBorders>
              <w:top w:val="single" w:sz="4" w:space="0" w:color="auto"/>
            </w:tcBorders>
          </w:tcPr>
          <w:p w14:paraId="761BF23D" w14:textId="38C95AD8" w:rsidR="00120288"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22"/>
                <w:szCs w:val="22"/>
              </w:rPr>
            </w:pPr>
            <w:r w:rsidRPr="00C544A8">
              <w:rPr>
                <w:rFonts w:ascii="Trebuchet MS" w:eastAsiaTheme="minorEastAsia" w:hAnsi="Trebuchet MS" w:cstheme="minorBidi"/>
                <w:color w:val="auto"/>
                <w:sz w:val="22"/>
                <w:szCs w:val="22"/>
              </w:rPr>
              <w:t>Course introduction and overview of FDA regulatory environment following marketing application approval, including Prescription Drug User Fee Amendments (PDUFA)</w:t>
            </w:r>
          </w:p>
        </w:tc>
        <w:tc>
          <w:tcPr>
            <w:tcW w:w="2776" w:type="dxa"/>
            <w:tcBorders>
              <w:top w:val="single" w:sz="4" w:space="0" w:color="auto"/>
            </w:tcBorders>
          </w:tcPr>
          <w:p w14:paraId="61D202FF" w14:textId="32B31973" w:rsidR="00120288"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r w:rsidRPr="00C544A8">
              <w:rPr>
                <w:rFonts w:eastAsiaTheme="minorEastAsia" w:cstheme="minorBidi"/>
                <w:sz w:val="22"/>
                <w:szCs w:val="22"/>
              </w:rPr>
              <w:t xml:space="preserve">Pre-reads </w:t>
            </w:r>
          </w:p>
        </w:tc>
      </w:tr>
      <w:tr w:rsidR="00274721" w:rsidRPr="00C544A8" w14:paraId="7F521C82" w14:textId="50C9EE5E"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037D964D" w14:textId="789D1117"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Jan 26</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2 </w:t>
            </w:r>
          </w:p>
        </w:tc>
        <w:tc>
          <w:tcPr>
            <w:tcW w:w="5504" w:type="dxa"/>
          </w:tcPr>
          <w:p w14:paraId="03FBBBE7" w14:textId="650280C5" w:rsidR="006977D4"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FDA-approved product labeling</w:t>
            </w:r>
          </w:p>
        </w:tc>
        <w:tc>
          <w:tcPr>
            <w:tcW w:w="2776" w:type="dxa"/>
          </w:tcPr>
          <w:p w14:paraId="7DDE37CF" w14:textId="7828ED9C"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p w14:paraId="6DCA5E0B" w14:textId="592CF727"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FDA website search</w:t>
            </w:r>
          </w:p>
        </w:tc>
      </w:tr>
      <w:tr w:rsidR="00274721" w:rsidRPr="00C544A8" w14:paraId="7284017E" w14:textId="0786BA4B"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0C1C9E24" w14:textId="2992CD5C"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Feb 2</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3 </w:t>
            </w:r>
          </w:p>
        </w:tc>
        <w:tc>
          <w:tcPr>
            <w:tcW w:w="5504" w:type="dxa"/>
          </w:tcPr>
          <w:p w14:paraId="40EB88BF" w14:textId="675F594D" w:rsidR="001B75E2"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FDA-approved product labeling – how changes are made to labeling post-approval</w:t>
            </w:r>
          </w:p>
        </w:tc>
        <w:tc>
          <w:tcPr>
            <w:tcW w:w="2776" w:type="dxa"/>
          </w:tcPr>
          <w:p w14:paraId="56A5911B" w14:textId="3B5B453F"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Label Section Overview Presentations</w:t>
            </w:r>
          </w:p>
        </w:tc>
      </w:tr>
      <w:tr w:rsidR="00274721" w:rsidRPr="00C544A8" w14:paraId="2471D91F" w14:textId="28BCAC0D"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4D3A3FF3" w14:textId="2D3F35E6"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Feb 9</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4 </w:t>
            </w:r>
          </w:p>
        </w:tc>
        <w:tc>
          <w:tcPr>
            <w:tcW w:w="5504" w:type="dxa"/>
          </w:tcPr>
          <w:p w14:paraId="4EB42CCF" w14:textId="12BDFDA3" w:rsidR="006977D4"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Post-marketing requirements, part 1 – accelerated approvals and other situations where PMRs are utilized</w:t>
            </w:r>
          </w:p>
        </w:tc>
        <w:tc>
          <w:tcPr>
            <w:tcW w:w="2776" w:type="dxa"/>
          </w:tcPr>
          <w:p w14:paraId="69213022" w14:textId="73775CE3"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tc>
      </w:tr>
      <w:tr w:rsidR="00274721" w:rsidRPr="00C544A8" w14:paraId="033E961F" w14:textId="39407825"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3EA33EAC" w14:textId="07B6418F"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Feb 16</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5 </w:t>
            </w:r>
          </w:p>
        </w:tc>
        <w:tc>
          <w:tcPr>
            <w:tcW w:w="5504" w:type="dxa"/>
          </w:tcPr>
          <w:p w14:paraId="17A8201B" w14:textId="75482ED7" w:rsidR="008E1C7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r w:rsidRPr="00C544A8">
              <w:rPr>
                <w:rFonts w:eastAsiaTheme="minorEastAsia" w:cstheme="minorBidi"/>
                <w:sz w:val="22"/>
                <w:szCs w:val="22"/>
              </w:rPr>
              <w:t>Post-marketing requirements, part 2 – pregnancy, lactation, pediatrics</w:t>
            </w:r>
          </w:p>
        </w:tc>
        <w:tc>
          <w:tcPr>
            <w:tcW w:w="2776" w:type="dxa"/>
          </w:tcPr>
          <w:p w14:paraId="794DFD94" w14:textId="713EE2DF"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tc>
      </w:tr>
      <w:tr w:rsidR="00274721" w:rsidRPr="00C544A8" w14:paraId="433961D4" w14:textId="40060450"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1311D265" w14:textId="28F28575"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Feb 23</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6 </w:t>
            </w:r>
          </w:p>
        </w:tc>
        <w:tc>
          <w:tcPr>
            <w:tcW w:w="5504" w:type="dxa"/>
          </w:tcPr>
          <w:p w14:paraId="78B0811C" w14:textId="4CD1828E" w:rsidR="003C48D7"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Risk evaluation and mitigation strategy (REMS)</w:t>
            </w:r>
          </w:p>
          <w:p w14:paraId="2DC129D6" w14:textId="30CCA71B" w:rsidR="003C48D7"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Xyrem case study</w:t>
            </w:r>
          </w:p>
        </w:tc>
        <w:tc>
          <w:tcPr>
            <w:tcW w:w="2776" w:type="dxa"/>
          </w:tcPr>
          <w:p w14:paraId="41E03A1E" w14:textId="4624E96B"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REMS Product Presentations</w:t>
            </w:r>
          </w:p>
        </w:tc>
      </w:tr>
      <w:tr w:rsidR="00274721" w:rsidRPr="00C544A8" w14:paraId="60402CA5" w14:textId="52226E8F"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0B6ADB09" w14:textId="686855BC"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Mar 2</w:t>
            </w:r>
            <w:r w:rsidR="006977D4" w:rsidRPr="00C544A8">
              <w:br/>
            </w:r>
            <w:r w:rsidR="00C544A8">
              <w:rPr>
                <w:rFonts w:eastAsiaTheme="minorEastAsia" w:cstheme="minorBidi"/>
                <w:b w:val="0"/>
                <w:sz w:val="22"/>
                <w:szCs w:val="22"/>
              </w:rPr>
              <w:t>Week</w:t>
            </w:r>
            <w:r w:rsidRPr="00C544A8">
              <w:rPr>
                <w:rFonts w:eastAsiaTheme="minorEastAsia" w:cstheme="minorBidi"/>
                <w:b w:val="0"/>
                <w:sz w:val="22"/>
                <w:szCs w:val="22"/>
              </w:rPr>
              <w:t xml:space="preserve"> 7 </w:t>
            </w:r>
          </w:p>
        </w:tc>
        <w:tc>
          <w:tcPr>
            <w:tcW w:w="5504" w:type="dxa"/>
          </w:tcPr>
          <w:p w14:paraId="39EE60D0" w14:textId="29FBAF50" w:rsidR="006977D4"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Pharmacovigilance/safety surveillance – post-approval safety reporting requirements</w:t>
            </w:r>
          </w:p>
          <w:p w14:paraId="1D6193A8" w14:textId="3FAD4D09" w:rsidR="006977D4" w:rsidRPr="00C544A8" w:rsidRDefault="65923C26" w:rsidP="65923C26">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Postmarking safety report case studies</w:t>
            </w:r>
          </w:p>
        </w:tc>
        <w:tc>
          <w:tcPr>
            <w:tcW w:w="2776" w:type="dxa"/>
          </w:tcPr>
          <w:p w14:paraId="0DF83FBD" w14:textId="56630B5B"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tc>
      </w:tr>
      <w:tr w:rsidR="000E32C8" w:rsidRPr="00C544A8" w14:paraId="5A97B317" w14:textId="77777777" w:rsidTr="00BB36ED">
        <w:trPr>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D0CECE" w:themeFill="background2" w:themeFillShade="E6"/>
          </w:tcPr>
          <w:p w14:paraId="7EF5B3F0" w14:textId="77777777" w:rsidR="000E32C8" w:rsidRDefault="65923C26" w:rsidP="65923C26">
            <w:pPr>
              <w:spacing w:before="40" w:after="40"/>
              <w:rPr>
                <w:rFonts w:eastAsiaTheme="minorEastAsia" w:cstheme="minorBidi"/>
                <w:sz w:val="22"/>
                <w:szCs w:val="22"/>
              </w:rPr>
            </w:pPr>
            <w:r w:rsidRPr="00C544A8">
              <w:rPr>
                <w:rFonts w:eastAsiaTheme="minorEastAsia" w:cstheme="minorBidi"/>
                <w:b w:val="0"/>
                <w:sz w:val="22"/>
                <w:szCs w:val="22"/>
              </w:rPr>
              <w:t>Mar 9</w:t>
            </w:r>
          </w:p>
          <w:p w14:paraId="3BF717A8" w14:textId="22F6A490" w:rsidR="00C544A8" w:rsidRPr="00C544A8" w:rsidRDefault="00C544A8" w:rsidP="65923C26">
            <w:pPr>
              <w:spacing w:before="40" w:after="40"/>
              <w:rPr>
                <w:rFonts w:eastAsiaTheme="minorEastAsia" w:cstheme="minorBidi"/>
                <w:b w:val="0"/>
                <w:sz w:val="22"/>
                <w:szCs w:val="22"/>
              </w:rPr>
            </w:pPr>
            <w:r>
              <w:rPr>
                <w:rFonts w:eastAsiaTheme="minorEastAsia" w:cstheme="minorBidi"/>
                <w:b w:val="0"/>
                <w:sz w:val="22"/>
                <w:szCs w:val="22"/>
              </w:rPr>
              <w:t>Week 8</w:t>
            </w:r>
          </w:p>
        </w:tc>
        <w:tc>
          <w:tcPr>
            <w:tcW w:w="5504" w:type="dxa"/>
            <w:shd w:val="clear" w:color="auto" w:fill="D0CECE" w:themeFill="background2" w:themeFillShade="E6"/>
          </w:tcPr>
          <w:p w14:paraId="11534B2C" w14:textId="1D42EB45" w:rsidR="000E32C8"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b/>
                <w:bCs/>
              </w:rPr>
            </w:pPr>
            <w:r w:rsidRPr="00C544A8">
              <w:rPr>
                <w:rFonts w:eastAsiaTheme="minorEastAsia" w:cstheme="minorBidi"/>
                <w:b/>
                <w:bCs/>
                <w:sz w:val="22"/>
                <w:szCs w:val="22"/>
              </w:rPr>
              <w:t>Spring Break – no class</w:t>
            </w:r>
          </w:p>
        </w:tc>
        <w:tc>
          <w:tcPr>
            <w:tcW w:w="2776" w:type="dxa"/>
            <w:shd w:val="clear" w:color="auto" w:fill="D0CECE" w:themeFill="background2" w:themeFillShade="E6"/>
          </w:tcPr>
          <w:p w14:paraId="437780DF" w14:textId="77777777" w:rsidR="000E32C8" w:rsidRPr="00C544A8" w:rsidRDefault="000E32C8"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rPr>
            </w:pPr>
          </w:p>
        </w:tc>
      </w:tr>
      <w:tr w:rsidR="00274721" w:rsidRPr="00C544A8" w14:paraId="0A605D38" w14:textId="07B1FCB2"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18FDA86F" w14:textId="54493FD9"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Mar 16</w:t>
            </w:r>
            <w:r w:rsidR="006977D4" w:rsidRPr="00C544A8">
              <w:br/>
            </w:r>
            <w:r w:rsidR="00C544A8">
              <w:rPr>
                <w:rFonts w:eastAsiaTheme="minorEastAsia" w:cstheme="minorBidi"/>
                <w:b w:val="0"/>
                <w:sz w:val="22"/>
                <w:szCs w:val="22"/>
              </w:rPr>
              <w:t>Week 9</w:t>
            </w:r>
            <w:r w:rsidRPr="00C544A8">
              <w:rPr>
                <w:rFonts w:eastAsiaTheme="minorEastAsia" w:cstheme="minorBidi"/>
                <w:b w:val="0"/>
                <w:sz w:val="22"/>
                <w:szCs w:val="22"/>
              </w:rPr>
              <w:t xml:space="preserve"> </w:t>
            </w:r>
          </w:p>
        </w:tc>
        <w:tc>
          <w:tcPr>
            <w:tcW w:w="5504" w:type="dxa"/>
          </w:tcPr>
          <w:p w14:paraId="06425DDA" w14:textId="7B63568D" w:rsidR="000E32C8"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b/>
                <w:bCs/>
                <w:sz w:val="22"/>
                <w:szCs w:val="22"/>
              </w:rPr>
            </w:pPr>
            <w:r w:rsidRPr="00C544A8">
              <w:rPr>
                <w:rFonts w:eastAsiaTheme="minorEastAsia" w:cstheme="minorBidi"/>
                <w:sz w:val="22"/>
                <w:szCs w:val="22"/>
              </w:rPr>
              <w:t>Annual Reports</w:t>
            </w:r>
          </w:p>
          <w:p w14:paraId="563372C7" w14:textId="31F7CDC7" w:rsidR="000E32C8"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r w:rsidRPr="00C544A8">
              <w:rPr>
                <w:rFonts w:eastAsiaTheme="minorEastAsia" w:cstheme="minorBidi"/>
                <w:sz w:val="22"/>
                <w:szCs w:val="22"/>
              </w:rPr>
              <w:t>Chemistry, manufacturing, and controls (CMC) Part 1</w:t>
            </w:r>
          </w:p>
        </w:tc>
        <w:tc>
          <w:tcPr>
            <w:tcW w:w="2776" w:type="dxa"/>
          </w:tcPr>
          <w:p w14:paraId="5237F3A2" w14:textId="7706CCF7"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tc>
      </w:tr>
      <w:tr w:rsidR="00274721" w:rsidRPr="00C544A8" w14:paraId="0940EC84" w14:textId="478A65D1"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2DE4F161" w14:textId="197C6154" w:rsidR="006977D4" w:rsidRPr="00C544A8" w:rsidRDefault="65923C26" w:rsidP="65923C26">
            <w:pPr>
              <w:spacing w:before="40" w:after="40"/>
              <w:rPr>
                <w:rFonts w:eastAsiaTheme="minorEastAsia" w:cstheme="minorBidi"/>
                <w:b w:val="0"/>
                <w:sz w:val="22"/>
                <w:szCs w:val="22"/>
              </w:rPr>
            </w:pPr>
            <w:r w:rsidRPr="00C544A8">
              <w:rPr>
                <w:rFonts w:eastAsiaTheme="minorEastAsia" w:cstheme="minorBidi"/>
                <w:b w:val="0"/>
                <w:sz w:val="22"/>
                <w:szCs w:val="22"/>
              </w:rPr>
              <w:t>Mar 23</w:t>
            </w:r>
            <w:r w:rsidR="006977D4" w:rsidRPr="00C544A8">
              <w:br/>
            </w:r>
            <w:r w:rsidR="00C544A8">
              <w:rPr>
                <w:rFonts w:eastAsiaTheme="minorEastAsia" w:cstheme="minorBidi"/>
                <w:b w:val="0"/>
                <w:sz w:val="22"/>
                <w:szCs w:val="22"/>
              </w:rPr>
              <w:t>Week 10</w:t>
            </w:r>
            <w:r w:rsidRPr="00C544A8">
              <w:rPr>
                <w:rFonts w:eastAsiaTheme="minorEastAsia" w:cstheme="minorBidi"/>
                <w:b w:val="0"/>
                <w:sz w:val="22"/>
                <w:szCs w:val="22"/>
              </w:rPr>
              <w:t xml:space="preserve"> </w:t>
            </w:r>
          </w:p>
        </w:tc>
        <w:tc>
          <w:tcPr>
            <w:tcW w:w="5504" w:type="dxa"/>
          </w:tcPr>
          <w:p w14:paraId="48DF47A7" w14:textId="546C2D7C" w:rsidR="00D26AC2"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r w:rsidRPr="00C544A8">
              <w:rPr>
                <w:rFonts w:eastAsiaTheme="minorEastAsia" w:cstheme="minorBidi"/>
                <w:sz w:val="22"/>
                <w:szCs w:val="22"/>
              </w:rPr>
              <w:t>Chemistry, manufacturing, and controls (CMC) Part 2</w:t>
            </w:r>
          </w:p>
          <w:p w14:paraId="430CED61" w14:textId="228F3AFE" w:rsidR="00D26AC2" w:rsidRPr="00C544A8" w:rsidRDefault="00D26AC2"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p>
        </w:tc>
        <w:tc>
          <w:tcPr>
            <w:tcW w:w="2776" w:type="dxa"/>
          </w:tcPr>
          <w:p w14:paraId="7F21034F" w14:textId="00ECA97A" w:rsidR="006977D4" w:rsidRPr="00C544A8" w:rsidRDefault="31C2584F" w:rsidP="31C2584F">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p w14:paraId="22D0A99A" w14:textId="532B3965" w:rsidR="006977D4" w:rsidRPr="00C544A8" w:rsidRDefault="006977D4" w:rsidP="31C2584F">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p>
          <w:p w14:paraId="114B68E8" w14:textId="43122694" w:rsidR="006977D4" w:rsidRPr="00C544A8" w:rsidRDefault="31C2584F"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Manufacturing Changes writing assignment</w:t>
            </w:r>
          </w:p>
          <w:p w14:paraId="2B120874" w14:textId="5768FAD3" w:rsidR="006977D4" w:rsidRPr="00C544A8" w:rsidRDefault="006977D4"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p>
          <w:p w14:paraId="2370E635" w14:textId="619C48AF" w:rsidR="006977D4"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CMC/cGMP Quiz</w:t>
            </w:r>
          </w:p>
        </w:tc>
      </w:tr>
      <w:tr w:rsidR="000E32C8" w:rsidRPr="00C544A8" w14:paraId="340A841F" w14:textId="77777777"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60F25819" w14:textId="25673B5D" w:rsidR="000E32C8" w:rsidRPr="00C544A8" w:rsidRDefault="65923C26" w:rsidP="65923C26">
            <w:pPr>
              <w:spacing w:before="40" w:after="40"/>
              <w:rPr>
                <w:rFonts w:eastAsiaTheme="minorEastAsia" w:cstheme="minorBidi"/>
                <w:b w:val="0"/>
              </w:rPr>
            </w:pPr>
            <w:r w:rsidRPr="00C544A8">
              <w:rPr>
                <w:rFonts w:eastAsiaTheme="minorEastAsia" w:cstheme="minorBidi"/>
                <w:b w:val="0"/>
                <w:sz w:val="22"/>
                <w:szCs w:val="22"/>
              </w:rPr>
              <w:t>Mar 30</w:t>
            </w:r>
            <w:r w:rsidR="000E32C8" w:rsidRPr="00C544A8">
              <w:br/>
            </w:r>
            <w:r w:rsidR="00C544A8">
              <w:rPr>
                <w:rFonts w:eastAsiaTheme="minorEastAsia" w:cstheme="minorBidi"/>
                <w:b w:val="0"/>
                <w:sz w:val="22"/>
                <w:szCs w:val="22"/>
              </w:rPr>
              <w:t>Week 11</w:t>
            </w:r>
            <w:r w:rsidRPr="00C544A8">
              <w:rPr>
                <w:rFonts w:eastAsiaTheme="minorEastAsia" w:cstheme="minorBidi"/>
                <w:b w:val="0"/>
                <w:sz w:val="22"/>
                <w:szCs w:val="22"/>
              </w:rPr>
              <w:t xml:space="preserve"> </w:t>
            </w:r>
          </w:p>
        </w:tc>
        <w:tc>
          <w:tcPr>
            <w:tcW w:w="5504" w:type="dxa"/>
          </w:tcPr>
          <w:p w14:paraId="4C2AAAFF" w14:textId="53CD9174" w:rsidR="00D26AC2" w:rsidRPr="00C544A8" w:rsidRDefault="65923C26" w:rsidP="65923C26">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sz w:val="22"/>
                <w:szCs w:val="22"/>
              </w:rPr>
            </w:pPr>
            <w:r w:rsidRPr="00C544A8">
              <w:rPr>
                <w:rFonts w:eastAsiaTheme="minorEastAsia" w:cstheme="minorBidi"/>
                <w:sz w:val="22"/>
                <w:szCs w:val="22"/>
              </w:rPr>
              <w:t>Device post-approval landscape (Guest Facilitator</w:t>
            </w:r>
            <w:r w:rsidR="00C544A8">
              <w:rPr>
                <w:rFonts w:eastAsiaTheme="minorEastAsia" w:cstheme="minorBidi"/>
                <w:sz w:val="22"/>
                <w:szCs w:val="22"/>
              </w:rPr>
              <w:t>: Monica Lockard</w:t>
            </w:r>
            <w:r w:rsidRPr="00C544A8">
              <w:rPr>
                <w:rFonts w:eastAsiaTheme="minorEastAsia" w:cstheme="minorBidi"/>
                <w:sz w:val="22"/>
                <w:szCs w:val="22"/>
              </w:rPr>
              <w:t>)</w:t>
            </w:r>
          </w:p>
        </w:tc>
        <w:tc>
          <w:tcPr>
            <w:tcW w:w="2776" w:type="dxa"/>
          </w:tcPr>
          <w:p w14:paraId="1BEED267" w14:textId="77777777" w:rsidR="000E32C8" w:rsidRPr="00C544A8" w:rsidRDefault="000E32C8" w:rsidP="65923C26">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rPr>
            </w:pPr>
          </w:p>
        </w:tc>
      </w:tr>
      <w:tr w:rsidR="00C544A8" w:rsidRPr="00C544A8" w14:paraId="4CD068FB" w14:textId="77777777"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019E70C4" w14:textId="609AF2FC" w:rsidR="00C544A8" w:rsidRPr="00C544A8" w:rsidRDefault="00C544A8" w:rsidP="00C544A8">
            <w:pPr>
              <w:spacing w:before="40" w:after="40"/>
              <w:rPr>
                <w:rFonts w:eastAsiaTheme="minorEastAsia" w:cstheme="minorBidi"/>
              </w:rPr>
            </w:pPr>
            <w:r w:rsidRPr="00C544A8">
              <w:rPr>
                <w:rFonts w:eastAsiaTheme="minorEastAsia" w:cstheme="minorBidi"/>
                <w:b w:val="0"/>
                <w:sz w:val="22"/>
                <w:szCs w:val="22"/>
              </w:rPr>
              <w:t>Apr 6</w:t>
            </w:r>
            <w:r w:rsidRPr="00C544A8">
              <w:br/>
            </w:r>
            <w:r>
              <w:rPr>
                <w:rFonts w:eastAsiaTheme="minorEastAsia" w:cstheme="minorBidi"/>
                <w:b w:val="0"/>
                <w:sz w:val="22"/>
                <w:szCs w:val="22"/>
              </w:rPr>
              <w:t>Week</w:t>
            </w:r>
            <w:r w:rsidRPr="00C544A8">
              <w:rPr>
                <w:rFonts w:eastAsiaTheme="minorEastAsia" w:cstheme="minorBidi"/>
                <w:b w:val="0"/>
                <w:sz w:val="22"/>
                <w:szCs w:val="22"/>
              </w:rPr>
              <w:t xml:space="preserve"> 1</w:t>
            </w:r>
            <w:r>
              <w:rPr>
                <w:rFonts w:eastAsiaTheme="minorEastAsia" w:cstheme="minorBidi"/>
                <w:b w:val="0"/>
                <w:sz w:val="22"/>
                <w:szCs w:val="22"/>
              </w:rPr>
              <w:t>2</w:t>
            </w:r>
            <w:r w:rsidRPr="00C544A8">
              <w:rPr>
                <w:rFonts w:eastAsiaTheme="minorEastAsia" w:cstheme="minorBidi"/>
                <w:b w:val="0"/>
                <w:sz w:val="22"/>
                <w:szCs w:val="22"/>
              </w:rPr>
              <w:t xml:space="preserve"> </w:t>
            </w:r>
          </w:p>
        </w:tc>
        <w:tc>
          <w:tcPr>
            <w:tcW w:w="5504" w:type="dxa"/>
          </w:tcPr>
          <w:p w14:paraId="3658BA70" w14:textId="2C8A9F3B"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rPr>
            </w:pPr>
            <w:r w:rsidRPr="00C544A8">
              <w:rPr>
                <w:rFonts w:eastAsiaTheme="minorEastAsia" w:cstheme="minorBidi"/>
                <w:sz w:val="22"/>
                <w:szCs w:val="22"/>
              </w:rPr>
              <w:t>Advertising and promotion of approved products</w:t>
            </w:r>
          </w:p>
        </w:tc>
        <w:tc>
          <w:tcPr>
            <w:tcW w:w="2776" w:type="dxa"/>
          </w:tcPr>
          <w:p w14:paraId="5D0B5A59" w14:textId="77777777"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p w14:paraId="04F52D1D" w14:textId="1795DFDA"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rPr>
            </w:pPr>
            <w:r w:rsidRPr="00C544A8">
              <w:rPr>
                <w:rFonts w:eastAsiaTheme="minorEastAsia" w:cstheme="minorBidi"/>
                <w:color w:val="000000" w:themeColor="text1"/>
                <w:sz w:val="22"/>
                <w:szCs w:val="22"/>
              </w:rPr>
              <w:t>Untitled/Warning Letter Presentations</w:t>
            </w:r>
          </w:p>
        </w:tc>
      </w:tr>
      <w:tr w:rsidR="00C544A8" w:rsidRPr="00C544A8" w14:paraId="169FB4A4" w14:textId="3D3C4C95"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1ABE44B2" w14:textId="1C04846D" w:rsidR="00C544A8" w:rsidRPr="00C544A8" w:rsidRDefault="00C544A8" w:rsidP="00C544A8">
            <w:pPr>
              <w:spacing w:before="40" w:after="40"/>
              <w:rPr>
                <w:rFonts w:eastAsiaTheme="minorEastAsia" w:cstheme="minorBidi"/>
                <w:b w:val="0"/>
                <w:sz w:val="22"/>
                <w:szCs w:val="22"/>
              </w:rPr>
            </w:pPr>
            <w:r w:rsidRPr="00C544A8">
              <w:rPr>
                <w:rFonts w:eastAsiaTheme="minorEastAsia" w:cstheme="minorBidi"/>
                <w:b w:val="0"/>
                <w:sz w:val="22"/>
                <w:szCs w:val="22"/>
              </w:rPr>
              <w:t>Apr 13</w:t>
            </w:r>
            <w:r w:rsidRPr="00C544A8">
              <w:br/>
            </w:r>
            <w:r>
              <w:rPr>
                <w:rFonts w:eastAsiaTheme="minorEastAsia" w:cstheme="minorBidi"/>
                <w:b w:val="0"/>
                <w:sz w:val="22"/>
                <w:szCs w:val="22"/>
              </w:rPr>
              <w:t>Week 13</w:t>
            </w:r>
          </w:p>
        </w:tc>
        <w:tc>
          <w:tcPr>
            <w:tcW w:w="5504" w:type="dxa"/>
          </w:tcPr>
          <w:p w14:paraId="105E11BF" w14:textId="7F19D4D1"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Commercial – sales and marketing (Guest Facilitator</w:t>
            </w:r>
            <w:r w:rsidR="00024D16">
              <w:rPr>
                <w:rFonts w:eastAsiaTheme="minorEastAsia" w:cstheme="minorBidi"/>
                <w:color w:val="000000" w:themeColor="text1"/>
                <w:sz w:val="22"/>
                <w:szCs w:val="22"/>
              </w:rPr>
              <w:t>: Dave Knouft</w:t>
            </w:r>
            <w:r w:rsidRPr="00C544A8">
              <w:rPr>
                <w:rFonts w:eastAsiaTheme="minorEastAsia" w:cstheme="minorBidi"/>
                <w:color w:val="000000" w:themeColor="text1"/>
                <w:sz w:val="22"/>
                <w:szCs w:val="22"/>
              </w:rPr>
              <w:t>)</w:t>
            </w:r>
          </w:p>
        </w:tc>
        <w:tc>
          <w:tcPr>
            <w:tcW w:w="2776" w:type="dxa"/>
          </w:tcPr>
          <w:p w14:paraId="4D52B4FD" w14:textId="77777777"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p>
        </w:tc>
      </w:tr>
      <w:tr w:rsidR="00C544A8" w:rsidRPr="00C544A8" w14:paraId="797C3AF7" w14:textId="78F624F9" w:rsidTr="00BB36ED">
        <w:trPr>
          <w:cantSplit/>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tcPr>
          <w:p w14:paraId="07E1B9D2" w14:textId="1B95F3C2" w:rsidR="00C544A8" w:rsidRPr="00C544A8" w:rsidRDefault="00C544A8" w:rsidP="00C544A8">
            <w:pPr>
              <w:spacing w:before="40" w:after="40"/>
              <w:rPr>
                <w:rFonts w:eastAsiaTheme="minorEastAsia" w:cstheme="minorBidi"/>
                <w:b w:val="0"/>
                <w:sz w:val="22"/>
                <w:szCs w:val="22"/>
              </w:rPr>
            </w:pPr>
            <w:r w:rsidRPr="00C544A8">
              <w:rPr>
                <w:rFonts w:eastAsiaTheme="minorEastAsia" w:cstheme="minorBidi"/>
                <w:b w:val="0"/>
                <w:sz w:val="22"/>
                <w:szCs w:val="22"/>
              </w:rPr>
              <w:t>Apr 20</w:t>
            </w:r>
            <w:r w:rsidRPr="00C544A8">
              <w:br/>
            </w:r>
            <w:r>
              <w:rPr>
                <w:rFonts w:eastAsiaTheme="minorEastAsia" w:cstheme="minorBidi"/>
                <w:b w:val="0"/>
                <w:sz w:val="22"/>
                <w:szCs w:val="22"/>
              </w:rPr>
              <w:t>Week 14</w:t>
            </w:r>
          </w:p>
        </w:tc>
        <w:tc>
          <w:tcPr>
            <w:tcW w:w="5504" w:type="dxa"/>
            <w:tcBorders>
              <w:bottom w:val="single" w:sz="4" w:space="0" w:color="auto"/>
            </w:tcBorders>
          </w:tcPr>
          <w:p w14:paraId="79A25047" w14:textId="04BB2176" w:rsidR="00C544A8" w:rsidRPr="00C544A8" w:rsidRDefault="00C544A8" w:rsidP="00C544A8">
            <w:pPr>
              <w:pStyle w:val="C-TableText"/>
              <w:spacing w:before="40" w:after="40"/>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22"/>
                <w:szCs w:val="22"/>
              </w:rPr>
            </w:pPr>
            <w:r w:rsidRPr="00C544A8">
              <w:rPr>
                <w:rFonts w:ascii="Trebuchet MS" w:eastAsiaTheme="minorEastAsia" w:hAnsi="Trebuchet MS" w:cstheme="minorBidi"/>
                <w:sz w:val="22"/>
                <w:szCs w:val="22"/>
              </w:rPr>
              <w:t>Lifecycle management</w:t>
            </w:r>
          </w:p>
        </w:tc>
        <w:tc>
          <w:tcPr>
            <w:tcW w:w="2776" w:type="dxa"/>
            <w:tcBorders>
              <w:bottom w:val="single" w:sz="4" w:space="0" w:color="auto"/>
            </w:tcBorders>
          </w:tcPr>
          <w:p w14:paraId="15F56736" w14:textId="242444A1"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Pre-reads</w:t>
            </w:r>
          </w:p>
        </w:tc>
      </w:tr>
      <w:tr w:rsidR="00C544A8" w:rsidRPr="00C544A8" w14:paraId="151B1BEE" w14:textId="028534C0" w:rsidTr="00BB36ED">
        <w:trPr>
          <w:cantSplit/>
        </w:trPr>
        <w:tc>
          <w:tcPr>
            <w:cnfStyle w:val="001000000000" w:firstRow="0" w:lastRow="0" w:firstColumn="1" w:lastColumn="0" w:oddVBand="0" w:evenVBand="0" w:oddHBand="0" w:evenHBand="0" w:firstRowFirstColumn="0" w:firstRowLastColumn="0" w:lastRowFirstColumn="0" w:lastRowLastColumn="0"/>
            <w:tcW w:w="1255" w:type="dxa"/>
          </w:tcPr>
          <w:p w14:paraId="2DEF1290" w14:textId="1D71A145" w:rsidR="00C544A8" w:rsidRPr="00C544A8" w:rsidRDefault="00C544A8" w:rsidP="00C544A8">
            <w:pPr>
              <w:spacing w:before="40" w:after="40"/>
              <w:rPr>
                <w:rFonts w:eastAsiaTheme="minorEastAsia" w:cstheme="minorBidi"/>
                <w:b w:val="0"/>
                <w:sz w:val="22"/>
                <w:szCs w:val="22"/>
              </w:rPr>
            </w:pPr>
            <w:r w:rsidRPr="00C544A8">
              <w:rPr>
                <w:rFonts w:eastAsiaTheme="minorEastAsia" w:cstheme="minorBidi"/>
                <w:b w:val="0"/>
                <w:sz w:val="22"/>
                <w:szCs w:val="22"/>
              </w:rPr>
              <w:t>Apr 27</w:t>
            </w:r>
            <w:r w:rsidRPr="00C544A8">
              <w:br/>
            </w:r>
            <w:r>
              <w:rPr>
                <w:rFonts w:eastAsiaTheme="minorEastAsia" w:cstheme="minorBidi"/>
                <w:b w:val="0"/>
                <w:sz w:val="22"/>
                <w:szCs w:val="22"/>
              </w:rPr>
              <w:t>Week 15</w:t>
            </w:r>
          </w:p>
        </w:tc>
        <w:tc>
          <w:tcPr>
            <w:tcW w:w="5504" w:type="dxa"/>
          </w:tcPr>
          <w:p w14:paraId="47A7E977" w14:textId="39150C51"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Final presentations &amp; discussion</w:t>
            </w:r>
          </w:p>
        </w:tc>
        <w:tc>
          <w:tcPr>
            <w:tcW w:w="2776" w:type="dxa"/>
          </w:tcPr>
          <w:p w14:paraId="4B454AB8" w14:textId="31AFA9E3" w:rsidR="00C544A8" w:rsidRPr="00C544A8" w:rsidRDefault="00C544A8" w:rsidP="00C544A8">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stheme="minorBidi"/>
                <w:color w:val="000000" w:themeColor="text1"/>
                <w:sz w:val="22"/>
                <w:szCs w:val="22"/>
              </w:rPr>
            </w:pPr>
            <w:r w:rsidRPr="00C544A8">
              <w:rPr>
                <w:rFonts w:eastAsiaTheme="minorEastAsia" w:cstheme="minorBidi"/>
                <w:color w:val="000000" w:themeColor="text1"/>
                <w:sz w:val="22"/>
                <w:szCs w:val="22"/>
              </w:rPr>
              <w:t>Final Presentation</w:t>
            </w:r>
          </w:p>
        </w:tc>
      </w:tr>
    </w:tbl>
    <w:p w14:paraId="0B3E10F9" w14:textId="2BA0688B" w:rsidR="00500B00" w:rsidRPr="00C544A8" w:rsidRDefault="00500B00" w:rsidP="0006448A">
      <w:pPr>
        <w:pStyle w:val="Heading2"/>
        <w:spacing w:before="120" w:after="120"/>
        <w:ind w:left="0"/>
        <w:rPr>
          <w:rFonts w:eastAsiaTheme="minorEastAsia" w:cstheme="minorBidi"/>
        </w:rPr>
      </w:pPr>
    </w:p>
    <w:sectPr w:rsidR="00500B00" w:rsidRPr="00C544A8" w:rsidSect="000E6734">
      <w:footerReference w:type="default" r:id="rId10"/>
      <w:pgSz w:w="12240" w:h="15840" w:code="1"/>
      <w:pgMar w:top="144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1A56" w14:textId="77777777" w:rsidR="003445BE" w:rsidRDefault="003445BE">
      <w:r>
        <w:separator/>
      </w:r>
    </w:p>
  </w:endnote>
  <w:endnote w:type="continuationSeparator" w:id="0">
    <w:p w14:paraId="713AD76F" w14:textId="77777777" w:rsidR="003445BE" w:rsidRDefault="0034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086" w14:textId="28037094" w:rsidR="00093C79" w:rsidRPr="00433783" w:rsidRDefault="00093C79">
    <w:pPr>
      <w:pStyle w:val="Footer"/>
      <w:jc w:val="right"/>
      <w:rPr>
        <w:rFonts w:ascii="Times New Roman" w:hAnsi="Times New Roman" w:cs="Times New Roman"/>
      </w:rPr>
    </w:pPr>
    <w:r w:rsidRPr="00433783">
      <w:rPr>
        <w:rFonts w:ascii="Times New Roman" w:hAnsi="Times New Roman" w:cs="Times New Roman"/>
      </w:rPr>
      <w:t xml:space="preserve">Page </w:t>
    </w:r>
    <w:sdt>
      <w:sdtPr>
        <w:rPr>
          <w:rFonts w:ascii="Times New Roman" w:hAnsi="Times New Roman" w:cs="Times New Roman"/>
        </w:rPr>
        <w:id w:val="585954419"/>
        <w:docPartObj>
          <w:docPartGallery w:val="Page Numbers (Bottom of Page)"/>
          <w:docPartUnique/>
        </w:docPartObj>
      </w:sdtPr>
      <w:sdtEndPr>
        <w:rPr>
          <w:noProof/>
        </w:rPr>
      </w:sdtEndPr>
      <w:sdtContent>
        <w:r w:rsidRPr="00433783">
          <w:rPr>
            <w:rFonts w:ascii="Times New Roman" w:hAnsi="Times New Roman" w:cs="Times New Roman"/>
          </w:rPr>
          <w:fldChar w:fldCharType="begin"/>
        </w:r>
        <w:r w:rsidRPr="00433783">
          <w:rPr>
            <w:rFonts w:ascii="Times New Roman" w:hAnsi="Times New Roman" w:cs="Times New Roman"/>
          </w:rPr>
          <w:instrText xml:space="preserve"> PAGE   \* MERGEFORMAT </w:instrText>
        </w:r>
        <w:r w:rsidRPr="00433783">
          <w:rPr>
            <w:rFonts w:ascii="Times New Roman" w:hAnsi="Times New Roman" w:cs="Times New Roman"/>
          </w:rPr>
          <w:fldChar w:fldCharType="separate"/>
        </w:r>
        <w:r w:rsidRPr="00433783">
          <w:rPr>
            <w:rFonts w:ascii="Times New Roman" w:hAnsi="Times New Roman" w:cs="Times New Roman"/>
            <w:noProof/>
          </w:rPr>
          <w:t>2</w:t>
        </w:r>
        <w:r w:rsidRPr="00433783">
          <w:rPr>
            <w:rFonts w:ascii="Times New Roman" w:hAnsi="Times New Roman" w:cs="Times New Roman"/>
            <w:noProof/>
          </w:rPr>
          <w:fldChar w:fldCharType="end"/>
        </w:r>
      </w:sdtContent>
    </w:sdt>
  </w:p>
  <w:p w14:paraId="6929C33F" w14:textId="73E38271" w:rsidR="0084757B" w:rsidRDefault="00024D16">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7D31" w14:textId="77777777" w:rsidR="003445BE" w:rsidRDefault="003445BE">
      <w:r>
        <w:separator/>
      </w:r>
    </w:p>
  </w:footnote>
  <w:footnote w:type="continuationSeparator" w:id="0">
    <w:p w14:paraId="0371712D" w14:textId="77777777" w:rsidR="003445BE" w:rsidRDefault="0034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FF0C"/>
    <w:multiLevelType w:val="hybridMultilevel"/>
    <w:tmpl w:val="BEFAFB8E"/>
    <w:lvl w:ilvl="0" w:tplc="42A8863A">
      <w:start w:val="1"/>
      <w:numFmt w:val="decimal"/>
      <w:lvlText w:val="%1."/>
      <w:lvlJc w:val="left"/>
      <w:pPr>
        <w:ind w:left="720" w:hanging="360"/>
      </w:pPr>
    </w:lvl>
    <w:lvl w:ilvl="1" w:tplc="06E86734">
      <w:start w:val="1"/>
      <w:numFmt w:val="lowerLetter"/>
      <w:lvlText w:val="%2."/>
      <w:lvlJc w:val="left"/>
      <w:pPr>
        <w:ind w:left="1440" w:hanging="360"/>
      </w:pPr>
    </w:lvl>
    <w:lvl w:ilvl="2" w:tplc="CE8E9A0E">
      <w:start w:val="1"/>
      <w:numFmt w:val="lowerRoman"/>
      <w:lvlText w:val="%3."/>
      <w:lvlJc w:val="right"/>
      <w:pPr>
        <w:ind w:left="2160" w:hanging="180"/>
      </w:pPr>
    </w:lvl>
    <w:lvl w:ilvl="3" w:tplc="7A907EC8">
      <w:start w:val="1"/>
      <w:numFmt w:val="decimal"/>
      <w:lvlText w:val="%4."/>
      <w:lvlJc w:val="left"/>
      <w:pPr>
        <w:ind w:left="2880" w:hanging="360"/>
      </w:pPr>
    </w:lvl>
    <w:lvl w:ilvl="4" w:tplc="59AA5828">
      <w:start w:val="1"/>
      <w:numFmt w:val="lowerLetter"/>
      <w:lvlText w:val="%5."/>
      <w:lvlJc w:val="left"/>
      <w:pPr>
        <w:ind w:left="3600" w:hanging="360"/>
      </w:pPr>
    </w:lvl>
    <w:lvl w:ilvl="5" w:tplc="85822CA2">
      <w:start w:val="1"/>
      <w:numFmt w:val="lowerRoman"/>
      <w:lvlText w:val="%6."/>
      <w:lvlJc w:val="right"/>
      <w:pPr>
        <w:ind w:left="4320" w:hanging="180"/>
      </w:pPr>
    </w:lvl>
    <w:lvl w:ilvl="6" w:tplc="BB30AB8C">
      <w:start w:val="1"/>
      <w:numFmt w:val="decimal"/>
      <w:lvlText w:val="%7."/>
      <w:lvlJc w:val="left"/>
      <w:pPr>
        <w:ind w:left="5040" w:hanging="360"/>
      </w:pPr>
    </w:lvl>
    <w:lvl w:ilvl="7" w:tplc="C9B8331E">
      <w:start w:val="1"/>
      <w:numFmt w:val="lowerLetter"/>
      <w:lvlText w:val="%8."/>
      <w:lvlJc w:val="left"/>
      <w:pPr>
        <w:ind w:left="5760" w:hanging="360"/>
      </w:pPr>
    </w:lvl>
    <w:lvl w:ilvl="8" w:tplc="54EC710A">
      <w:start w:val="1"/>
      <w:numFmt w:val="lowerRoman"/>
      <w:lvlText w:val="%9."/>
      <w:lvlJc w:val="right"/>
      <w:pPr>
        <w:ind w:left="6480" w:hanging="180"/>
      </w:pPr>
    </w:lvl>
  </w:abstractNum>
  <w:abstractNum w:abstractNumId="1" w15:restartNumberingAfterBreak="0">
    <w:nsid w:val="29EB6164"/>
    <w:multiLevelType w:val="hybridMultilevel"/>
    <w:tmpl w:val="CEBE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941B6"/>
    <w:multiLevelType w:val="hybridMultilevel"/>
    <w:tmpl w:val="601C7CC4"/>
    <w:lvl w:ilvl="0" w:tplc="C756BE14">
      <w:numFmt w:val="bullet"/>
      <w:lvlText w:val=""/>
      <w:lvlJc w:val="left"/>
      <w:pPr>
        <w:ind w:left="1112" w:hanging="360"/>
      </w:pPr>
      <w:rPr>
        <w:rFonts w:ascii="Symbol" w:eastAsia="Symbol" w:hAnsi="Symbol" w:cs="Symbol" w:hint="default"/>
        <w:color w:val="404040"/>
        <w:w w:val="103"/>
        <w:sz w:val="19"/>
        <w:szCs w:val="19"/>
      </w:rPr>
    </w:lvl>
    <w:lvl w:ilvl="1" w:tplc="842ADA76">
      <w:numFmt w:val="bullet"/>
      <w:lvlText w:val="•"/>
      <w:lvlJc w:val="left"/>
      <w:pPr>
        <w:ind w:left="2060" w:hanging="360"/>
      </w:pPr>
      <w:rPr>
        <w:rFonts w:hint="default"/>
      </w:rPr>
    </w:lvl>
    <w:lvl w:ilvl="2" w:tplc="9E4C665E">
      <w:numFmt w:val="bullet"/>
      <w:lvlText w:val="•"/>
      <w:lvlJc w:val="left"/>
      <w:pPr>
        <w:ind w:left="3000" w:hanging="360"/>
      </w:pPr>
      <w:rPr>
        <w:rFonts w:hint="default"/>
      </w:rPr>
    </w:lvl>
    <w:lvl w:ilvl="3" w:tplc="89449D16">
      <w:numFmt w:val="bullet"/>
      <w:lvlText w:val="•"/>
      <w:lvlJc w:val="left"/>
      <w:pPr>
        <w:ind w:left="3940" w:hanging="360"/>
      </w:pPr>
      <w:rPr>
        <w:rFonts w:hint="default"/>
      </w:rPr>
    </w:lvl>
    <w:lvl w:ilvl="4" w:tplc="E34A0C9E">
      <w:numFmt w:val="bullet"/>
      <w:lvlText w:val="•"/>
      <w:lvlJc w:val="left"/>
      <w:pPr>
        <w:ind w:left="4880" w:hanging="360"/>
      </w:pPr>
      <w:rPr>
        <w:rFonts w:hint="default"/>
      </w:rPr>
    </w:lvl>
    <w:lvl w:ilvl="5" w:tplc="469E9496">
      <w:numFmt w:val="bullet"/>
      <w:lvlText w:val="•"/>
      <w:lvlJc w:val="left"/>
      <w:pPr>
        <w:ind w:left="5820" w:hanging="360"/>
      </w:pPr>
      <w:rPr>
        <w:rFonts w:hint="default"/>
      </w:rPr>
    </w:lvl>
    <w:lvl w:ilvl="6" w:tplc="D2548A42">
      <w:numFmt w:val="bullet"/>
      <w:lvlText w:val="•"/>
      <w:lvlJc w:val="left"/>
      <w:pPr>
        <w:ind w:left="6760" w:hanging="360"/>
      </w:pPr>
      <w:rPr>
        <w:rFonts w:hint="default"/>
      </w:rPr>
    </w:lvl>
    <w:lvl w:ilvl="7" w:tplc="771E3AF4">
      <w:numFmt w:val="bullet"/>
      <w:lvlText w:val="•"/>
      <w:lvlJc w:val="left"/>
      <w:pPr>
        <w:ind w:left="7700" w:hanging="360"/>
      </w:pPr>
      <w:rPr>
        <w:rFonts w:hint="default"/>
      </w:rPr>
    </w:lvl>
    <w:lvl w:ilvl="8" w:tplc="0540A13A">
      <w:numFmt w:val="bullet"/>
      <w:lvlText w:val="•"/>
      <w:lvlJc w:val="left"/>
      <w:pPr>
        <w:ind w:left="86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D2"/>
    <w:rsid w:val="00003D0E"/>
    <w:rsid w:val="00024D16"/>
    <w:rsid w:val="00063B10"/>
    <w:rsid w:val="0006448A"/>
    <w:rsid w:val="00064A64"/>
    <w:rsid w:val="00093C79"/>
    <w:rsid w:val="000A6306"/>
    <w:rsid w:val="000C688C"/>
    <w:rsid w:val="000E32C8"/>
    <w:rsid w:val="000E6734"/>
    <w:rsid w:val="00120288"/>
    <w:rsid w:val="001B75E2"/>
    <w:rsid w:val="001C4D8A"/>
    <w:rsid w:val="001C5FA5"/>
    <w:rsid w:val="001D7E4E"/>
    <w:rsid w:val="00224AB2"/>
    <w:rsid w:val="002251C0"/>
    <w:rsid w:val="00243AB3"/>
    <w:rsid w:val="00274721"/>
    <w:rsid w:val="002C48C8"/>
    <w:rsid w:val="003445BE"/>
    <w:rsid w:val="003C48D7"/>
    <w:rsid w:val="00433783"/>
    <w:rsid w:val="004348B3"/>
    <w:rsid w:val="00444107"/>
    <w:rsid w:val="004C216E"/>
    <w:rsid w:val="004E3930"/>
    <w:rsid w:val="00500B00"/>
    <w:rsid w:val="005263EA"/>
    <w:rsid w:val="005C031B"/>
    <w:rsid w:val="005F0D18"/>
    <w:rsid w:val="00607F55"/>
    <w:rsid w:val="0066327F"/>
    <w:rsid w:val="00674533"/>
    <w:rsid w:val="006977D4"/>
    <w:rsid w:val="006E3D21"/>
    <w:rsid w:val="006F37B5"/>
    <w:rsid w:val="00880620"/>
    <w:rsid w:val="00885A30"/>
    <w:rsid w:val="008A0011"/>
    <w:rsid w:val="008B0FA9"/>
    <w:rsid w:val="008E1C74"/>
    <w:rsid w:val="00966821"/>
    <w:rsid w:val="009979E9"/>
    <w:rsid w:val="009A72E0"/>
    <w:rsid w:val="009C47A3"/>
    <w:rsid w:val="009C718F"/>
    <w:rsid w:val="00A74B38"/>
    <w:rsid w:val="00A8183C"/>
    <w:rsid w:val="00AB5389"/>
    <w:rsid w:val="00B47CDC"/>
    <w:rsid w:val="00B7081D"/>
    <w:rsid w:val="00B81319"/>
    <w:rsid w:val="00BB2124"/>
    <w:rsid w:val="00BB36ED"/>
    <w:rsid w:val="00BE678C"/>
    <w:rsid w:val="00C544A8"/>
    <w:rsid w:val="00C57B34"/>
    <w:rsid w:val="00C60CF2"/>
    <w:rsid w:val="00C63204"/>
    <w:rsid w:val="00CA5EF8"/>
    <w:rsid w:val="00CC7CA2"/>
    <w:rsid w:val="00CD6A0A"/>
    <w:rsid w:val="00D01E09"/>
    <w:rsid w:val="00D26AC2"/>
    <w:rsid w:val="00D376D2"/>
    <w:rsid w:val="00DA3600"/>
    <w:rsid w:val="00DA51A3"/>
    <w:rsid w:val="00DD37FA"/>
    <w:rsid w:val="00E11A19"/>
    <w:rsid w:val="00E9735B"/>
    <w:rsid w:val="00ED0155"/>
    <w:rsid w:val="00F60D95"/>
    <w:rsid w:val="00FF142E"/>
    <w:rsid w:val="00FF7176"/>
    <w:rsid w:val="00FF7747"/>
    <w:rsid w:val="302EEA0B"/>
    <w:rsid w:val="31A64FB6"/>
    <w:rsid w:val="31C2584F"/>
    <w:rsid w:val="31E3F192"/>
    <w:rsid w:val="34B5B94E"/>
    <w:rsid w:val="3E3E7B09"/>
    <w:rsid w:val="489CAB3B"/>
    <w:rsid w:val="57F03A8F"/>
    <w:rsid w:val="5A555D49"/>
    <w:rsid w:val="65923C26"/>
    <w:rsid w:val="691CB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BFC1"/>
  <w15:chartTrackingRefBased/>
  <w15:docId w15:val="{96F79AE1-B688-43AD-86A7-162AAF1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76D2"/>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224AB2"/>
    <w:pPr>
      <w:spacing w:before="120" w:after="120"/>
      <w:outlineLvl w:val="0"/>
    </w:pPr>
    <w:rPr>
      <w:rFonts w:asciiTheme="minorHAnsi" w:eastAsiaTheme="minorEastAsia" w:hAnsiTheme="minorHAnsi" w:cstheme="minorBidi"/>
      <w:b/>
      <w:bCs/>
      <w:color w:val="4472C4" w:themeColor="accent5"/>
      <w:spacing w:val="-8"/>
      <w:sz w:val="44"/>
      <w:szCs w:val="44"/>
    </w:rPr>
  </w:style>
  <w:style w:type="paragraph" w:styleId="Heading2">
    <w:name w:val="heading 2"/>
    <w:basedOn w:val="Normal"/>
    <w:link w:val="Heading2Char"/>
    <w:uiPriority w:val="1"/>
    <w:qFormat/>
    <w:rsid w:val="00D376D2"/>
    <w:pPr>
      <w:ind w:left="39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AB2"/>
    <w:rPr>
      <w:rFonts w:eastAsiaTheme="minorEastAsia"/>
      <w:b/>
      <w:bCs/>
      <w:color w:val="4472C4" w:themeColor="accent5"/>
      <w:spacing w:val="-8"/>
      <w:sz w:val="44"/>
      <w:szCs w:val="44"/>
    </w:rPr>
  </w:style>
  <w:style w:type="character" w:customStyle="1" w:styleId="Heading2Char">
    <w:name w:val="Heading 2 Char"/>
    <w:basedOn w:val="DefaultParagraphFont"/>
    <w:link w:val="Heading2"/>
    <w:uiPriority w:val="1"/>
    <w:rsid w:val="00D376D2"/>
    <w:rPr>
      <w:rFonts w:ascii="Trebuchet MS" w:eastAsia="Trebuchet MS" w:hAnsi="Trebuchet MS" w:cs="Trebuchet MS"/>
      <w:b/>
      <w:bCs/>
      <w:sz w:val="24"/>
      <w:szCs w:val="24"/>
    </w:rPr>
  </w:style>
  <w:style w:type="paragraph" w:styleId="BodyText">
    <w:name w:val="Body Text"/>
    <w:basedOn w:val="Normal"/>
    <w:link w:val="BodyTextChar"/>
    <w:uiPriority w:val="1"/>
    <w:qFormat/>
    <w:rsid w:val="00D376D2"/>
    <w:rPr>
      <w:rFonts w:ascii="Calibri" w:eastAsia="Calibri" w:hAnsi="Calibri" w:cs="Calibri"/>
      <w:sz w:val="21"/>
      <w:szCs w:val="21"/>
    </w:rPr>
  </w:style>
  <w:style w:type="character" w:customStyle="1" w:styleId="BodyTextChar">
    <w:name w:val="Body Text Char"/>
    <w:basedOn w:val="DefaultParagraphFont"/>
    <w:link w:val="BodyText"/>
    <w:uiPriority w:val="1"/>
    <w:rsid w:val="00D376D2"/>
    <w:rPr>
      <w:rFonts w:ascii="Calibri" w:eastAsia="Calibri" w:hAnsi="Calibri" w:cs="Calibri"/>
      <w:sz w:val="21"/>
      <w:szCs w:val="21"/>
    </w:rPr>
  </w:style>
  <w:style w:type="paragraph" w:styleId="ListParagraph">
    <w:name w:val="List Paragraph"/>
    <w:basedOn w:val="Normal"/>
    <w:uiPriority w:val="1"/>
    <w:qFormat/>
    <w:rsid w:val="00D376D2"/>
    <w:pPr>
      <w:ind w:left="1300" w:hanging="360"/>
    </w:pPr>
  </w:style>
  <w:style w:type="character" w:styleId="Hyperlink">
    <w:name w:val="Hyperlink"/>
    <w:basedOn w:val="DefaultParagraphFont"/>
    <w:uiPriority w:val="99"/>
    <w:unhideWhenUsed/>
    <w:rsid w:val="00D376D2"/>
    <w:rPr>
      <w:color w:val="0563C1" w:themeColor="hyperlink"/>
      <w:u w:val="single"/>
    </w:rPr>
  </w:style>
  <w:style w:type="character" w:styleId="CommentReference">
    <w:name w:val="annotation reference"/>
    <w:basedOn w:val="DefaultParagraphFont"/>
    <w:uiPriority w:val="99"/>
    <w:semiHidden/>
    <w:unhideWhenUsed/>
    <w:rsid w:val="00D376D2"/>
    <w:rPr>
      <w:sz w:val="16"/>
      <w:szCs w:val="16"/>
    </w:rPr>
  </w:style>
  <w:style w:type="paragraph" w:styleId="CommentText">
    <w:name w:val="annotation text"/>
    <w:basedOn w:val="Normal"/>
    <w:link w:val="CommentTextChar"/>
    <w:uiPriority w:val="99"/>
    <w:semiHidden/>
    <w:unhideWhenUsed/>
    <w:rsid w:val="00D376D2"/>
    <w:rPr>
      <w:sz w:val="20"/>
      <w:szCs w:val="20"/>
    </w:rPr>
  </w:style>
  <w:style w:type="character" w:customStyle="1" w:styleId="CommentTextChar">
    <w:name w:val="Comment Text Char"/>
    <w:basedOn w:val="DefaultParagraphFont"/>
    <w:link w:val="CommentText"/>
    <w:uiPriority w:val="99"/>
    <w:semiHidden/>
    <w:rsid w:val="00D376D2"/>
    <w:rPr>
      <w:rFonts w:ascii="Trebuchet MS" w:eastAsia="Trebuchet MS" w:hAnsi="Trebuchet MS" w:cs="Trebuchet MS"/>
      <w:sz w:val="20"/>
      <w:szCs w:val="20"/>
    </w:rPr>
  </w:style>
  <w:style w:type="table" w:customStyle="1" w:styleId="SyllabusTable-withBorders">
    <w:name w:val="Syllabus Table - with Borders"/>
    <w:basedOn w:val="TableNormal"/>
    <w:uiPriority w:val="99"/>
    <w:rsid w:val="00D376D2"/>
    <w:pPr>
      <w:spacing w:before="80" w:after="80" w:line="240" w:lineRule="auto"/>
    </w:pPr>
    <w:rPr>
      <w:color w:val="404040" w:themeColor="text1" w:themeTint="BF"/>
      <w:sz w:val="18"/>
      <w:szCs w:val="20"/>
      <w:lang w:eastAsia="ja-JP"/>
    </w:rPr>
    <w:tblPr>
      <w:tblBorders>
        <w:bottom w:val="single" w:sz="4" w:space="0" w:color="5B9BD5"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B9BD5" w:themeColor="accent1"/>
        <w:sz w:val="20"/>
      </w:rPr>
      <w:tblPr/>
      <w:tcPr>
        <w:tcBorders>
          <w:top w:val="nil"/>
          <w:left w:val="nil"/>
          <w:bottom w:val="single" w:sz="4" w:space="0" w:color="5B9BD5" w:themeColor="accent1"/>
          <w:right w:val="nil"/>
          <w:insideH w:val="nil"/>
          <w:insideV w:val="nil"/>
          <w:tl2br w:val="nil"/>
          <w:tr2bl w:val="nil"/>
        </w:tcBorders>
      </w:tcPr>
    </w:tblStylePr>
    <w:tblStylePr w:type="firstCol">
      <w:rPr>
        <w:b/>
        <w:color w:val="262626" w:themeColor="text1" w:themeTint="D9"/>
      </w:rPr>
    </w:tblStylePr>
  </w:style>
  <w:style w:type="character" w:styleId="Strong">
    <w:name w:val="Strong"/>
    <w:basedOn w:val="DefaultParagraphFont"/>
    <w:uiPriority w:val="1"/>
    <w:qFormat/>
    <w:rsid w:val="00D376D2"/>
    <w:rPr>
      <w:b/>
      <w:bCs/>
      <w:color w:val="262626" w:themeColor="text1" w:themeTint="D9"/>
    </w:rPr>
  </w:style>
  <w:style w:type="table" w:customStyle="1" w:styleId="SyllabusTable-NoBorders">
    <w:name w:val="Syllabus Table - No Borders"/>
    <w:basedOn w:val="TableNormal"/>
    <w:uiPriority w:val="99"/>
    <w:rsid w:val="00D376D2"/>
    <w:pPr>
      <w:spacing w:after="0" w:line="240" w:lineRule="auto"/>
    </w:pPr>
    <w:rPr>
      <w:color w:val="404040" w:themeColor="text1" w:themeTint="BF"/>
      <w:sz w:val="18"/>
      <w:szCs w:val="20"/>
      <w:lang w:eastAsia="ja-JP"/>
    </w:rPr>
    <w:tblPr>
      <w:tblCellMar>
        <w:left w:w="0" w:type="dxa"/>
        <w:right w:w="0" w:type="dxa"/>
      </w:tblCellMar>
    </w:tblPr>
    <w:tblStylePr w:type="firstRow">
      <w:pPr>
        <w:wordWrap/>
        <w:spacing w:afterLines="0" w:after="80" w:afterAutospacing="0"/>
      </w:pPr>
      <w:rPr>
        <w:rFonts w:asciiTheme="majorHAnsi" w:hAnsiTheme="majorHAnsi"/>
        <w:b/>
        <w:color w:val="5B9BD5" w:themeColor="accent1"/>
        <w:sz w:val="20"/>
      </w:rPr>
    </w:tblStylePr>
  </w:style>
  <w:style w:type="paragraph" w:styleId="NoSpacing">
    <w:name w:val="No Spacing"/>
    <w:uiPriority w:val="36"/>
    <w:qFormat/>
    <w:rsid w:val="00D376D2"/>
    <w:pPr>
      <w:spacing w:after="0" w:line="240" w:lineRule="auto"/>
    </w:pPr>
    <w:rPr>
      <w:color w:val="404040" w:themeColor="text1" w:themeTint="BF"/>
      <w:sz w:val="18"/>
      <w:szCs w:val="20"/>
      <w:lang w:eastAsia="ja-JP"/>
    </w:rPr>
  </w:style>
  <w:style w:type="paragraph" w:styleId="BalloonText">
    <w:name w:val="Balloon Text"/>
    <w:basedOn w:val="Normal"/>
    <w:link w:val="BalloonTextChar"/>
    <w:uiPriority w:val="99"/>
    <w:semiHidden/>
    <w:unhideWhenUsed/>
    <w:rsid w:val="00D37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6D2"/>
    <w:rPr>
      <w:rFonts w:ascii="Segoe UI" w:eastAsia="Trebuchet MS" w:hAnsi="Segoe UI" w:cs="Segoe UI"/>
      <w:sz w:val="18"/>
      <w:szCs w:val="18"/>
    </w:rPr>
  </w:style>
  <w:style w:type="paragraph" w:styleId="Header">
    <w:name w:val="header"/>
    <w:basedOn w:val="Normal"/>
    <w:link w:val="HeaderChar"/>
    <w:uiPriority w:val="99"/>
    <w:unhideWhenUsed/>
    <w:rsid w:val="00093C79"/>
    <w:pPr>
      <w:tabs>
        <w:tab w:val="center" w:pos="4680"/>
        <w:tab w:val="right" w:pos="9360"/>
      </w:tabs>
    </w:pPr>
  </w:style>
  <w:style w:type="character" w:customStyle="1" w:styleId="HeaderChar">
    <w:name w:val="Header Char"/>
    <w:basedOn w:val="DefaultParagraphFont"/>
    <w:link w:val="Header"/>
    <w:uiPriority w:val="99"/>
    <w:rsid w:val="00093C79"/>
    <w:rPr>
      <w:rFonts w:ascii="Trebuchet MS" w:eastAsia="Trebuchet MS" w:hAnsi="Trebuchet MS" w:cs="Trebuchet MS"/>
    </w:rPr>
  </w:style>
  <w:style w:type="paragraph" w:styleId="Footer">
    <w:name w:val="footer"/>
    <w:basedOn w:val="Normal"/>
    <w:link w:val="FooterChar"/>
    <w:uiPriority w:val="99"/>
    <w:unhideWhenUsed/>
    <w:rsid w:val="00093C79"/>
    <w:pPr>
      <w:tabs>
        <w:tab w:val="center" w:pos="4680"/>
        <w:tab w:val="right" w:pos="9360"/>
      </w:tabs>
    </w:pPr>
  </w:style>
  <w:style w:type="character" w:customStyle="1" w:styleId="FooterChar">
    <w:name w:val="Footer Char"/>
    <w:basedOn w:val="DefaultParagraphFont"/>
    <w:link w:val="Footer"/>
    <w:uiPriority w:val="99"/>
    <w:rsid w:val="00093C79"/>
    <w:rPr>
      <w:rFonts w:ascii="Trebuchet MS" w:eastAsia="Trebuchet MS" w:hAnsi="Trebuchet MS" w:cs="Trebuchet MS"/>
    </w:rPr>
  </w:style>
  <w:style w:type="paragraph" w:customStyle="1" w:styleId="C-TableText">
    <w:name w:val="C-Table Text"/>
    <w:rsid w:val="006E3D21"/>
    <w:pPr>
      <w:spacing w:before="60" w:after="6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063B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688C"/>
    <w:rPr>
      <w:b/>
      <w:bCs/>
    </w:rPr>
  </w:style>
  <w:style w:type="character" w:customStyle="1" w:styleId="CommentSubjectChar">
    <w:name w:val="Comment Subject Char"/>
    <w:basedOn w:val="CommentTextChar"/>
    <w:link w:val="CommentSubject"/>
    <w:uiPriority w:val="99"/>
    <w:semiHidden/>
    <w:rsid w:val="000C688C"/>
    <w:rPr>
      <w:rFonts w:ascii="Trebuchet MS" w:eastAsia="Trebuchet MS" w:hAnsi="Trebuchet MS" w:cs="Trebuchet MS"/>
      <w:b/>
      <w:bCs/>
      <w:sz w:val="20"/>
      <w:szCs w:val="20"/>
    </w:rPr>
  </w:style>
  <w:style w:type="paragraph" w:styleId="NormalWeb">
    <w:name w:val="Normal (Web)"/>
    <w:basedOn w:val="Normal"/>
    <w:uiPriority w:val="99"/>
    <w:semiHidden/>
    <w:unhideWhenUsed/>
    <w:rsid w:val="008A0011"/>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8222">
      <w:bodyDiv w:val="1"/>
      <w:marLeft w:val="0"/>
      <w:marRight w:val="0"/>
      <w:marTop w:val="0"/>
      <w:marBottom w:val="0"/>
      <w:divBdr>
        <w:top w:val="none" w:sz="0" w:space="0" w:color="auto"/>
        <w:left w:val="none" w:sz="0" w:space="0" w:color="auto"/>
        <w:bottom w:val="none" w:sz="0" w:space="0" w:color="auto"/>
        <w:right w:val="none" w:sz="0" w:space="0" w:color="auto"/>
      </w:divBdr>
    </w:div>
    <w:div w:id="730614930">
      <w:bodyDiv w:val="1"/>
      <w:marLeft w:val="0"/>
      <w:marRight w:val="0"/>
      <w:marTop w:val="0"/>
      <w:marBottom w:val="0"/>
      <w:divBdr>
        <w:top w:val="none" w:sz="0" w:space="0" w:color="auto"/>
        <w:left w:val="none" w:sz="0" w:space="0" w:color="auto"/>
        <w:bottom w:val="none" w:sz="0" w:space="0" w:color="auto"/>
        <w:right w:val="none" w:sz="0" w:space="0" w:color="auto"/>
      </w:divBdr>
    </w:div>
    <w:div w:id="1066955145">
      <w:bodyDiv w:val="1"/>
      <w:marLeft w:val="0"/>
      <w:marRight w:val="0"/>
      <w:marTop w:val="0"/>
      <w:marBottom w:val="0"/>
      <w:divBdr>
        <w:top w:val="none" w:sz="0" w:space="0" w:color="auto"/>
        <w:left w:val="none" w:sz="0" w:space="0" w:color="auto"/>
        <w:bottom w:val="none" w:sz="0" w:space="0" w:color="auto"/>
        <w:right w:val="none" w:sz="0" w:space="0" w:color="auto"/>
      </w:divBdr>
    </w:div>
    <w:div w:id="11364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penn.edu" TargetMode="External"/><Relationship Id="rId3" Type="http://schemas.openxmlformats.org/officeDocument/2006/relationships/settings" Target="settings.xml"/><Relationship Id="rId7" Type="http://schemas.openxmlformats.org/officeDocument/2006/relationships/hyperlink" Target="mailto:micheleroy06@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penn-accommodate.sympli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Germany</dc:creator>
  <cp:keywords/>
  <dc:description/>
  <cp:lastModifiedBy>Kroushl, Nik</cp:lastModifiedBy>
  <cp:revision>24</cp:revision>
  <cp:lastPrinted>2022-07-04T03:51:00Z</cp:lastPrinted>
  <dcterms:created xsi:type="dcterms:W3CDTF">2022-07-07T12:58:00Z</dcterms:created>
  <dcterms:modified xsi:type="dcterms:W3CDTF">2023-01-12T18:27:00Z</dcterms:modified>
</cp:coreProperties>
</file>